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57"/>
        <w:tblW w:w="9502" w:type="dxa"/>
        <w:tblLook w:val="04A0" w:firstRow="1" w:lastRow="0" w:firstColumn="1" w:lastColumn="0" w:noHBand="0" w:noVBand="1"/>
      </w:tblPr>
      <w:tblGrid>
        <w:gridCol w:w="8376"/>
        <w:gridCol w:w="1126"/>
      </w:tblGrid>
      <w:tr w:rsidR="00266207" w:rsidRPr="00E248DE" w14:paraId="0AB57331" w14:textId="77777777" w:rsidTr="00741525">
        <w:trPr>
          <w:trHeight w:val="3251"/>
        </w:trPr>
        <w:tc>
          <w:tcPr>
            <w:tcW w:w="9502" w:type="dxa"/>
            <w:gridSpan w:val="2"/>
          </w:tcPr>
          <w:p w14:paraId="3B9D6D11" w14:textId="77777777" w:rsidR="00D94ECB" w:rsidRPr="00E248DE" w:rsidRDefault="003A014E" w:rsidP="0074152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E248D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5FCB8F53" wp14:editId="1F463E1E">
                  <wp:simplePos x="0" y="0"/>
                  <wp:positionH relativeFrom="column">
                    <wp:posOffset>3978910</wp:posOffset>
                  </wp:positionH>
                  <wp:positionV relativeFrom="paragraph">
                    <wp:posOffset>-746125</wp:posOffset>
                  </wp:positionV>
                  <wp:extent cx="1978897" cy="670560"/>
                  <wp:effectExtent l="0" t="0" r="2540" b="0"/>
                  <wp:wrapNone/>
                  <wp:docPr id="1" name="Picture 1" descr="https://intranet.cafcass.net/departments/Documents/Communications/Cafcass%20Style%20Guide/Cafcass_Logo_2014_Vector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cafcass.net/departments/Documents/Communications/Cafcass%20Style%20Guide/Cafcass_Logo_2014_Vector_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897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6207" w:rsidRPr="00E248DE">
              <w:rPr>
                <w:rFonts w:ascii="Arial" w:hAnsi="Arial" w:cs="Arial"/>
              </w:rPr>
              <w:t xml:space="preserve">Use the below </w:t>
            </w:r>
            <w:r w:rsidR="00B5737D" w:rsidRPr="00E248DE">
              <w:rPr>
                <w:rFonts w:ascii="Arial" w:hAnsi="Arial" w:cs="Arial"/>
              </w:rPr>
              <w:t>information</w:t>
            </w:r>
            <w:r w:rsidR="00266207" w:rsidRPr="00E248DE">
              <w:rPr>
                <w:rFonts w:ascii="Arial" w:hAnsi="Arial" w:cs="Arial"/>
              </w:rPr>
              <w:t xml:space="preserve"> to consider the suitability of a case for the CPPP. The CPPP can be recommended at any stage in the life of a case</w:t>
            </w:r>
            <w:r w:rsidR="00606852">
              <w:rPr>
                <w:rFonts w:ascii="Arial" w:hAnsi="Arial" w:cs="Arial"/>
              </w:rPr>
              <w:t xml:space="preserve"> following the FHDRA</w:t>
            </w:r>
            <w:r w:rsidR="00945A1F">
              <w:rPr>
                <w:rFonts w:ascii="Arial" w:hAnsi="Arial" w:cs="Arial"/>
              </w:rPr>
              <w:t xml:space="preserve"> and the filing of a Safeguarding Letter.</w:t>
            </w:r>
            <w:r w:rsidR="002A1B14" w:rsidRPr="00E248DE">
              <w:rPr>
                <w:rFonts w:ascii="Arial" w:hAnsi="Arial" w:cs="Arial"/>
              </w:rPr>
              <w:t xml:space="preserve"> </w:t>
            </w:r>
            <w:r w:rsidR="00D94ECB" w:rsidRPr="00E248DE">
              <w:rPr>
                <w:rFonts w:ascii="Arial" w:hAnsi="Arial" w:cs="Arial"/>
              </w:rPr>
              <w:t xml:space="preserve">Where the suitability criteria </w:t>
            </w:r>
            <w:proofErr w:type="gramStart"/>
            <w:r w:rsidR="00945A1F">
              <w:rPr>
                <w:rFonts w:ascii="Arial" w:hAnsi="Arial" w:cs="Arial"/>
              </w:rPr>
              <w:t>is</w:t>
            </w:r>
            <w:proofErr w:type="gramEnd"/>
            <w:r w:rsidR="00945A1F">
              <w:rPr>
                <w:rFonts w:ascii="Arial" w:hAnsi="Arial" w:cs="Arial"/>
              </w:rPr>
              <w:t xml:space="preserve"> met, the CPPP can be ordered by the court under Section 7 (or as an addendum), FAO or under Rule 16.4</w:t>
            </w:r>
            <w:r w:rsidR="004D559E" w:rsidRPr="00E248DE">
              <w:rPr>
                <w:rFonts w:ascii="Arial" w:hAnsi="Arial" w:cs="Arial"/>
              </w:rPr>
              <w:t xml:space="preserve">. </w:t>
            </w:r>
          </w:p>
          <w:p w14:paraId="216E00BE" w14:textId="77777777" w:rsidR="00D94ECB" w:rsidRPr="00E248DE" w:rsidRDefault="00D94ECB" w:rsidP="00741525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41F2B27" w14:textId="77777777" w:rsidR="000F21EB" w:rsidRPr="00E248DE" w:rsidRDefault="000F21EB" w:rsidP="00741525">
            <w:pPr>
              <w:pStyle w:val="NoSpacing"/>
              <w:jc w:val="both"/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The CPPP provide</w:t>
            </w:r>
            <w:r w:rsidR="00C425AB" w:rsidRPr="00E248DE">
              <w:rPr>
                <w:rFonts w:ascii="Arial" w:hAnsi="Arial" w:cs="Arial"/>
              </w:rPr>
              <w:t>s</w:t>
            </w:r>
            <w:r w:rsidRPr="00E248DE">
              <w:rPr>
                <w:rFonts w:ascii="Arial" w:hAnsi="Arial" w:cs="Arial"/>
              </w:rPr>
              <w:t xml:space="preserve"> structured </w:t>
            </w:r>
            <w:r w:rsidR="00F32643" w:rsidRPr="00E248DE">
              <w:rPr>
                <w:rFonts w:ascii="Arial" w:hAnsi="Arial" w:cs="Arial"/>
              </w:rPr>
              <w:t xml:space="preserve">intervention </w:t>
            </w:r>
            <w:r w:rsidRPr="00E248DE">
              <w:rPr>
                <w:rFonts w:ascii="Arial" w:hAnsi="Arial" w:cs="Arial"/>
              </w:rPr>
              <w:t>sessions to</w:t>
            </w:r>
            <w:r w:rsidR="00E94B61" w:rsidRPr="00E248DE">
              <w:rPr>
                <w:rFonts w:ascii="Arial" w:hAnsi="Arial" w:cs="Arial"/>
              </w:rPr>
              <w:t xml:space="preserve"> </w:t>
            </w:r>
            <w:r w:rsidR="00F32643" w:rsidRPr="00E248DE">
              <w:rPr>
                <w:rFonts w:ascii="Arial" w:hAnsi="Arial" w:cs="Arial"/>
              </w:rPr>
              <w:t>families</w:t>
            </w:r>
            <w:r w:rsidR="00945A1F">
              <w:rPr>
                <w:rFonts w:ascii="Arial" w:hAnsi="Arial" w:cs="Arial"/>
              </w:rPr>
              <w:t xml:space="preserve"> within proceedings</w:t>
            </w:r>
            <w:r w:rsidR="00F32643" w:rsidRPr="00E248DE">
              <w:rPr>
                <w:rFonts w:ascii="Arial" w:hAnsi="Arial" w:cs="Arial"/>
              </w:rPr>
              <w:t>,</w:t>
            </w:r>
            <w:r w:rsidRPr="00E248DE">
              <w:rPr>
                <w:rFonts w:ascii="Arial" w:hAnsi="Arial" w:cs="Arial"/>
              </w:rPr>
              <w:t xml:space="preserve"> aimed at promoting change, improving communication between parents and reducing the emotional harm experienced by children subject to entrenched parental conflict.</w:t>
            </w:r>
          </w:p>
          <w:p w14:paraId="0AC73E81" w14:textId="77777777" w:rsidR="00B5737D" w:rsidRPr="00E248DE" w:rsidRDefault="00B5737D" w:rsidP="00741525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8B58B58" w14:textId="77777777" w:rsidR="00863F60" w:rsidRPr="00E248DE" w:rsidRDefault="00B5737D" w:rsidP="00EE5FF4">
            <w:pPr>
              <w:pStyle w:val="NoSpacing"/>
              <w:jc w:val="both"/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 xml:space="preserve">The </w:t>
            </w:r>
            <w:r w:rsidR="00863F60" w:rsidRPr="00E248DE">
              <w:rPr>
                <w:rFonts w:ascii="Arial" w:hAnsi="Arial" w:cs="Arial"/>
              </w:rPr>
              <w:t>essential criteria and case indicators for CPPP cases are set out below. After completing the tick box exercise</w:t>
            </w:r>
            <w:r w:rsidR="005A76EC" w:rsidRPr="00E248DE">
              <w:rPr>
                <w:rFonts w:ascii="Arial" w:hAnsi="Arial" w:cs="Arial"/>
              </w:rPr>
              <w:t xml:space="preserve"> and</w:t>
            </w:r>
            <w:r w:rsidR="007405B4">
              <w:rPr>
                <w:rFonts w:ascii="Arial" w:hAnsi="Arial" w:cs="Arial"/>
              </w:rPr>
              <w:t xml:space="preserve"> having</w:t>
            </w:r>
            <w:r w:rsidR="005A76EC" w:rsidRPr="00E248DE">
              <w:rPr>
                <w:rFonts w:ascii="Arial" w:hAnsi="Arial" w:cs="Arial"/>
              </w:rPr>
              <w:t xml:space="preserve"> consider</w:t>
            </w:r>
            <w:r w:rsidR="007405B4">
              <w:rPr>
                <w:rFonts w:ascii="Arial" w:hAnsi="Arial" w:cs="Arial"/>
              </w:rPr>
              <w:t>ed</w:t>
            </w:r>
            <w:r w:rsidR="005A76EC" w:rsidRPr="00E248DE">
              <w:rPr>
                <w:rFonts w:ascii="Arial" w:hAnsi="Arial" w:cs="Arial"/>
              </w:rPr>
              <w:t xml:space="preserve"> t</w:t>
            </w:r>
            <w:r w:rsidR="00190D74">
              <w:rPr>
                <w:rFonts w:ascii="Arial" w:hAnsi="Arial" w:cs="Arial"/>
              </w:rPr>
              <w:t>he</w:t>
            </w:r>
            <w:r w:rsidR="002C7775">
              <w:rPr>
                <w:rFonts w:ascii="Arial" w:hAnsi="Arial" w:cs="Arial"/>
              </w:rPr>
              <w:t xml:space="preserve"> typologies </w:t>
            </w:r>
            <w:r w:rsidR="007405B4">
              <w:rPr>
                <w:rFonts w:ascii="Arial" w:hAnsi="Arial" w:cs="Arial"/>
              </w:rPr>
              <w:t xml:space="preserve">of conflict </w:t>
            </w:r>
            <w:r w:rsidR="002C7775">
              <w:rPr>
                <w:rFonts w:ascii="Arial" w:hAnsi="Arial" w:cs="Arial"/>
              </w:rPr>
              <w:t>set out in the</w:t>
            </w:r>
            <w:r w:rsidR="00190D74">
              <w:rPr>
                <w:rFonts w:ascii="Arial" w:hAnsi="Arial" w:cs="Arial"/>
              </w:rPr>
              <w:t xml:space="preserve"> </w:t>
            </w:r>
            <w:hyperlink r:id="rId11" w:history="1">
              <w:r w:rsidR="00D60BC9" w:rsidRPr="002F4526">
                <w:rPr>
                  <w:rStyle w:val="Hyperlink"/>
                  <w:rFonts w:ascii="Arial" w:hAnsi="Arial" w:cs="Arial"/>
                </w:rPr>
                <w:t xml:space="preserve">Harmful Conflict </w:t>
              </w:r>
              <w:r w:rsidR="00BA154A" w:rsidRPr="002F4526">
                <w:rPr>
                  <w:rStyle w:val="Hyperlink"/>
                  <w:rFonts w:ascii="Arial" w:hAnsi="Arial" w:cs="Arial"/>
                </w:rPr>
                <w:t>Guide</w:t>
              </w:r>
            </w:hyperlink>
            <w:r w:rsidR="00863F60" w:rsidRPr="00E248DE">
              <w:rPr>
                <w:rFonts w:ascii="Arial" w:hAnsi="Arial" w:cs="Arial"/>
              </w:rPr>
              <w:t>, i</w:t>
            </w:r>
            <w:r w:rsidR="005F4CFA" w:rsidRPr="00E248DE">
              <w:rPr>
                <w:rFonts w:ascii="Arial" w:hAnsi="Arial" w:cs="Arial"/>
              </w:rPr>
              <w:t>f you are</w:t>
            </w:r>
            <w:r w:rsidR="005A76EC" w:rsidRPr="00E248DE">
              <w:rPr>
                <w:rFonts w:ascii="Arial" w:hAnsi="Arial" w:cs="Arial"/>
              </w:rPr>
              <w:t xml:space="preserve"> still</w:t>
            </w:r>
            <w:r w:rsidR="005F4CFA" w:rsidRPr="00E248DE">
              <w:rPr>
                <w:rFonts w:ascii="Arial" w:hAnsi="Arial" w:cs="Arial"/>
              </w:rPr>
              <w:t xml:space="preserve"> not sure </w:t>
            </w:r>
            <w:r w:rsidR="00863F60" w:rsidRPr="00E248DE">
              <w:rPr>
                <w:rFonts w:ascii="Arial" w:hAnsi="Arial" w:cs="Arial"/>
              </w:rPr>
              <w:t>about the</w:t>
            </w:r>
            <w:r w:rsidR="005F4CFA" w:rsidRPr="00E248DE">
              <w:rPr>
                <w:rFonts w:ascii="Arial" w:hAnsi="Arial" w:cs="Arial"/>
              </w:rPr>
              <w:t xml:space="preserve"> suitabilit</w:t>
            </w:r>
            <w:r w:rsidR="00EA5A55" w:rsidRPr="00E248DE">
              <w:rPr>
                <w:rFonts w:ascii="Arial" w:hAnsi="Arial" w:cs="Arial"/>
              </w:rPr>
              <w:t xml:space="preserve">y of a case you can contact </w:t>
            </w:r>
            <w:hyperlink r:id="rId12" w:history="1">
              <w:r w:rsidR="00EA5A55" w:rsidRPr="00E248DE">
                <w:rPr>
                  <w:rStyle w:val="Hyperlink"/>
                  <w:rFonts w:ascii="Arial" w:hAnsi="Arial" w:cs="Arial"/>
                </w:rPr>
                <w:t>N</w:t>
              </w:r>
              <w:r w:rsidR="00C425AB" w:rsidRPr="00E248DE">
                <w:rPr>
                  <w:rStyle w:val="Hyperlink"/>
                  <w:rFonts w:ascii="Arial" w:hAnsi="Arial" w:cs="Arial"/>
                </w:rPr>
                <w:t xml:space="preserve">ational </w:t>
              </w:r>
              <w:r w:rsidR="00EA5A55" w:rsidRPr="00E248DE">
                <w:rPr>
                  <w:rStyle w:val="Hyperlink"/>
                  <w:rFonts w:ascii="Arial" w:hAnsi="Arial" w:cs="Arial"/>
                </w:rPr>
                <w:t>I</w:t>
              </w:r>
              <w:r w:rsidR="00C425AB" w:rsidRPr="00E248DE">
                <w:rPr>
                  <w:rStyle w:val="Hyperlink"/>
                  <w:rFonts w:ascii="Arial" w:hAnsi="Arial" w:cs="Arial"/>
                </w:rPr>
                <w:t xml:space="preserve">mprovement </w:t>
              </w:r>
              <w:r w:rsidR="00EA5A55" w:rsidRPr="00E248DE">
                <w:rPr>
                  <w:rStyle w:val="Hyperlink"/>
                  <w:rFonts w:ascii="Arial" w:hAnsi="Arial" w:cs="Arial"/>
                </w:rPr>
                <w:t>S</w:t>
              </w:r>
              <w:r w:rsidR="00C425AB" w:rsidRPr="00E248DE">
                <w:rPr>
                  <w:rStyle w:val="Hyperlink"/>
                  <w:rFonts w:ascii="Arial" w:hAnsi="Arial" w:cs="Arial"/>
                </w:rPr>
                <w:t>ervice (</w:t>
              </w:r>
              <w:r w:rsidR="00EA5A55" w:rsidRPr="00E248DE">
                <w:rPr>
                  <w:rStyle w:val="Hyperlink"/>
                  <w:rFonts w:ascii="Arial" w:hAnsi="Arial" w:cs="Arial"/>
                </w:rPr>
                <w:t>NIS</w:t>
              </w:r>
              <w:r w:rsidR="00C425AB" w:rsidRPr="00E248DE">
                <w:rPr>
                  <w:rStyle w:val="Hyperlink"/>
                  <w:rFonts w:ascii="Arial" w:hAnsi="Arial" w:cs="Arial"/>
                </w:rPr>
                <w:t>)</w:t>
              </w:r>
              <w:r w:rsidR="00EA5A55" w:rsidRPr="00E248DE">
                <w:rPr>
                  <w:rStyle w:val="Hyperlink"/>
                  <w:rFonts w:ascii="Arial" w:hAnsi="Arial" w:cs="Arial"/>
                </w:rPr>
                <w:t xml:space="preserve"> support</w:t>
              </w:r>
            </w:hyperlink>
            <w:r w:rsidR="00EA5A55" w:rsidRPr="00E248DE">
              <w:rPr>
                <w:rFonts w:ascii="Arial" w:hAnsi="Arial" w:cs="Arial"/>
              </w:rPr>
              <w:t xml:space="preserve"> to book a consultation appointment </w:t>
            </w:r>
            <w:r w:rsidR="005A76EC" w:rsidRPr="00E248DE">
              <w:rPr>
                <w:rFonts w:ascii="Arial" w:hAnsi="Arial" w:cs="Arial"/>
              </w:rPr>
              <w:t xml:space="preserve">to discuss the case </w:t>
            </w:r>
            <w:r w:rsidR="00514DEE" w:rsidRPr="00E248DE">
              <w:rPr>
                <w:rFonts w:ascii="Arial" w:hAnsi="Arial" w:cs="Arial"/>
              </w:rPr>
              <w:t>or</w:t>
            </w:r>
            <w:r w:rsidR="000B51A9" w:rsidRPr="00E248DE">
              <w:rPr>
                <w:rFonts w:ascii="Arial" w:hAnsi="Arial" w:cs="Arial"/>
              </w:rPr>
              <w:t xml:space="preserve"> discuss it with</w:t>
            </w:r>
            <w:r w:rsidR="00514DEE" w:rsidRPr="00E248DE">
              <w:rPr>
                <w:rFonts w:ascii="Arial" w:hAnsi="Arial" w:cs="Arial"/>
              </w:rPr>
              <w:t xml:space="preserve"> the </w:t>
            </w:r>
            <w:hyperlink r:id="rId13" w:history="1">
              <w:r w:rsidR="00514DEE" w:rsidRPr="00537561">
                <w:rPr>
                  <w:rStyle w:val="Hyperlink"/>
                  <w:rFonts w:ascii="Arial" w:hAnsi="Arial" w:cs="Arial"/>
                </w:rPr>
                <w:t xml:space="preserve">CPPP </w:t>
              </w:r>
              <w:r w:rsidR="00D3240F" w:rsidRPr="00537561">
                <w:rPr>
                  <w:rStyle w:val="Hyperlink"/>
                  <w:rFonts w:ascii="Arial" w:hAnsi="Arial" w:cs="Arial"/>
                </w:rPr>
                <w:t xml:space="preserve">manager </w:t>
              </w:r>
              <w:r w:rsidR="00514DEE" w:rsidRPr="00537561">
                <w:rPr>
                  <w:rStyle w:val="Hyperlink"/>
                  <w:rFonts w:ascii="Arial" w:hAnsi="Arial" w:cs="Arial"/>
                </w:rPr>
                <w:t>lead</w:t>
              </w:r>
            </w:hyperlink>
            <w:r w:rsidR="00514DEE" w:rsidRPr="00E248DE">
              <w:rPr>
                <w:rFonts w:ascii="Arial" w:hAnsi="Arial" w:cs="Arial"/>
              </w:rPr>
              <w:t xml:space="preserve"> in your area</w:t>
            </w:r>
            <w:r w:rsidR="00EA5A55" w:rsidRPr="00E248DE">
              <w:rPr>
                <w:rFonts w:ascii="Arial" w:hAnsi="Arial" w:cs="Arial"/>
              </w:rPr>
              <w:t>.</w:t>
            </w:r>
          </w:p>
          <w:p w14:paraId="07AF7674" w14:textId="77777777" w:rsidR="00D1351D" w:rsidRPr="00E248DE" w:rsidRDefault="00D1351D" w:rsidP="00EE5FF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15FFE8E" w14:textId="77777777" w:rsidR="00863F60" w:rsidRPr="00E248DE" w:rsidRDefault="00D1351D" w:rsidP="00522645">
            <w:pPr>
              <w:pStyle w:val="NoSpacing"/>
              <w:jc w:val="both"/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  <w:b/>
              </w:rPr>
              <w:t>Please note:</w:t>
            </w:r>
            <w:r w:rsidRPr="00E248DE">
              <w:rPr>
                <w:rFonts w:ascii="Arial" w:hAnsi="Arial" w:cs="Arial"/>
              </w:rPr>
              <w:t xml:space="preserve"> the CPPP can be considered in cases where the child is</w:t>
            </w:r>
            <w:r w:rsidR="00564A77" w:rsidRPr="00E248DE">
              <w:rPr>
                <w:rFonts w:ascii="Arial" w:hAnsi="Arial" w:cs="Arial"/>
              </w:rPr>
              <w:t xml:space="preserve"> of</w:t>
            </w:r>
            <w:r w:rsidRPr="00E248DE">
              <w:rPr>
                <w:rFonts w:ascii="Arial" w:hAnsi="Arial" w:cs="Arial"/>
              </w:rPr>
              <w:t xml:space="preserve"> any age. </w:t>
            </w:r>
          </w:p>
        </w:tc>
      </w:tr>
      <w:tr w:rsidR="004D559E" w:rsidRPr="00E248DE" w14:paraId="252998B7" w14:textId="77777777" w:rsidTr="00741525">
        <w:trPr>
          <w:trHeight w:val="262"/>
        </w:trPr>
        <w:tc>
          <w:tcPr>
            <w:tcW w:w="8376" w:type="dxa"/>
            <w:shd w:val="clear" w:color="auto" w:fill="ED7D31" w:themeFill="accent2"/>
          </w:tcPr>
          <w:p w14:paraId="6E10DDF6" w14:textId="77777777" w:rsidR="004D559E" w:rsidRPr="00E248DE" w:rsidRDefault="004D55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248DE">
              <w:rPr>
                <w:rFonts w:ascii="Arial" w:hAnsi="Arial" w:cs="Arial"/>
                <w:b/>
                <w:color w:val="FFFFFF" w:themeColor="background1"/>
              </w:rPr>
              <w:t>Essential criteria</w:t>
            </w:r>
          </w:p>
        </w:tc>
        <w:tc>
          <w:tcPr>
            <w:tcW w:w="1126" w:type="dxa"/>
            <w:shd w:val="clear" w:color="auto" w:fill="ED7D31" w:themeFill="accent2"/>
          </w:tcPr>
          <w:p w14:paraId="18202B4B" w14:textId="77777777" w:rsidR="004D559E" w:rsidRPr="00E248DE" w:rsidRDefault="004D55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248DE">
              <w:rPr>
                <w:rFonts w:ascii="Arial" w:hAnsi="Arial" w:cs="Arial"/>
                <w:b/>
                <w:color w:val="FFFFFF" w:themeColor="background1"/>
              </w:rPr>
              <w:t>Tick box</w:t>
            </w:r>
          </w:p>
        </w:tc>
      </w:tr>
      <w:tr w:rsidR="004D559E" w:rsidRPr="00E248DE" w14:paraId="35862A8C" w14:textId="77777777" w:rsidTr="00741525">
        <w:trPr>
          <w:trHeight w:val="502"/>
        </w:trPr>
        <w:tc>
          <w:tcPr>
            <w:tcW w:w="8376" w:type="dxa"/>
          </w:tcPr>
          <w:p w14:paraId="47D46E5C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Parents fulfil criteria for medium to high</w:t>
            </w:r>
            <w:r w:rsidR="00DE7FE2" w:rsidRPr="00E248DE">
              <w:rPr>
                <w:rFonts w:ascii="Arial" w:hAnsi="Arial" w:cs="Arial"/>
              </w:rPr>
              <w:t xml:space="preserve"> harmful</w:t>
            </w:r>
            <w:r w:rsidRPr="00E248DE">
              <w:rPr>
                <w:rFonts w:ascii="Arial" w:hAnsi="Arial" w:cs="Arial"/>
              </w:rPr>
              <w:t xml:space="preserve"> conflict, where the conflict is entrenched but not at the highest level of intractability</w:t>
            </w:r>
            <w:r w:rsidR="00AE7CE6" w:rsidRPr="00E248DE">
              <w:rPr>
                <w:rFonts w:ascii="Arial" w:hAnsi="Arial" w:cs="Arial"/>
              </w:rPr>
              <w:t xml:space="preserve"> </w:t>
            </w:r>
            <w:r w:rsidR="00945A1F">
              <w:rPr>
                <w:rFonts w:ascii="Arial" w:hAnsi="Arial" w:cs="Arial"/>
              </w:rPr>
              <w:t>or at the lowest level where the parents should be signposted to mediation and other community services not requiring Cafcass involvement.</w:t>
            </w:r>
          </w:p>
        </w:tc>
        <w:tc>
          <w:tcPr>
            <w:tcW w:w="1126" w:type="dxa"/>
          </w:tcPr>
          <w:p w14:paraId="3B9A9D02" w14:textId="77777777" w:rsidR="004D559E" w:rsidRPr="00E248DE" w:rsidRDefault="004D559E" w:rsidP="006A6333">
            <w:pPr>
              <w:rPr>
                <w:rFonts w:ascii="Arial" w:hAnsi="Arial" w:cs="Arial"/>
              </w:rPr>
            </w:pPr>
          </w:p>
        </w:tc>
      </w:tr>
      <w:tr w:rsidR="004D559E" w:rsidRPr="00E248DE" w14:paraId="04DBCB4C" w14:textId="77777777" w:rsidTr="00741525">
        <w:trPr>
          <w:trHeight w:val="514"/>
        </w:trPr>
        <w:tc>
          <w:tcPr>
            <w:tcW w:w="8376" w:type="dxa"/>
          </w:tcPr>
          <w:p w14:paraId="771B0802" w14:textId="77777777" w:rsidR="004D559E" w:rsidRDefault="0052719F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Th</w:t>
            </w:r>
            <w:r w:rsidR="004D559E" w:rsidRPr="00E248DE">
              <w:rPr>
                <w:rFonts w:ascii="Arial" w:hAnsi="Arial" w:cs="Arial"/>
              </w:rPr>
              <w:t xml:space="preserve">e case must </w:t>
            </w:r>
            <w:r w:rsidR="00047423" w:rsidRPr="00E248DE">
              <w:rPr>
                <w:rFonts w:ascii="Arial" w:hAnsi="Arial" w:cs="Arial"/>
              </w:rPr>
              <w:t>meet the criteria for</w:t>
            </w:r>
            <w:r w:rsidR="004D559E" w:rsidRPr="00E248DE">
              <w:rPr>
                <w:rFonts w:ascii="Arial" w:hAnsi="Arial" w:cs="Arial"/>
              </w:rPr>
              <w:t xml:space="preserve"> a </w:t>
            </w:r>
            <w:r w:rsidR="00945A1F">
              <w:rPr>
                <w:rFonts w:ascii="Arial" w:hAnsi="Arial" w:cs="Arial"/>
              </w:rPr>
              <w:t xml:space="preserve">Section 7, Family Assistance Order or </w:t>
            </w:r>
            <w:r w:rsidR="0065751A">
              <w:rPr>
                <w:rFonts w:ascii="Arial" w:hAnsi="Arial" w:cs="Arial"/>
              </w:rPr>
              <w:t>R</w:t>
            </w:r>
            <w:r w:rsidR="004D559E" w:rsidRPr="00E248DE">
              <w:rPr>
                <w:rFonts w:ascii="Arial" w:hAnsi="Arial" w:cs="Arial"/>
              </w:rPr>
              <w:t xml:space="preserve">ule 16.4 </w:t>
            </w:r>
            <w:r w:rsidR="00BB4FCF" w:rsidRPr="00E248DE">
              <w:rPr>
                <w:rFonts w:ascii="Arial" w:hAnsi="Arial" w:cs="Arial"/>
              </w:rPr>
              <w:t>case</w:t>
            </w:r>
            <w:r w:rsidR="009563C8">
              <w:rPr>
                <w:rFonts w:ascii="Arial" w:hAnsi="Arial" w:cs="Arial"/>
              </w:rPr>
              <w:t xml:space="preserve"> (</w:t>
            </w:r>
            <w:hyperlink r:id="rId14" w:history="1">
              <w:r w:rsidR="009563C8" w:rsidRPr="009563C8">
                <w:rPr>
                  <w:rStyle w:val="Hyperlink"/>
                  <w:rFonts w:ascii="Arial" w:hAnsi="Arial" w:cs="Arial"/>
                </w:rPr>
                <w:t xml:space="preserve">click here to access </w:t>
              </w:r>
              <w:r w:rsidR="00FD0C44" w:rsidRPr="009563C8">
                <w:rPr>
                  <w:rStyle w:val="Hyperlink"/>
                  <w:rFonts w:ascii="Arial" w:hAnsi="Arial" w:cs="Arial"/>
                </w:rPr>
                <w:t>section 7 threshold document</w:t>
              </w:r>
            </w:hyperlink>
            <w:r w:rsidR="00FD0C44">
              <w:rPr>
                <w:rFonts w:ascii="Arial" w:hAnsi="Arial" w:cs="Arial"/>
              </w:rPr>
              <w:t>)</w:t>
            </w:r>
            <w:r w:rsidR="004D559E" w:rsidRPr="00E248DE">
              <w:rPr>
                <w:rFonts w:ascii="Arial" w:hAnsi="Arial" w:cs="Arial"/>
              </w:rPr>
              <w:t xml:space="preserve">. </w:t>
            </w:r>
            <w:r w:rsidR="00945A1F">
              <w:rPr>
                <w:rFonts w:ascii="Arial" w:hAnsi="Arial" w:cs="Arial"/>
              </w:rPr>
              <w:t xml:space="preserve">For Section 7 cases this can be identified at the FHDRA following WTFH advice in the Safeguarding Letter and/or the DR work at court. </w:t>
            </w:r>
            <w:r w:rsidR="008424F7">
              <w:rPr>
                <w:rFonts w:ascii="Arial" w:hAnsi="Arial" w:cs="Arial"/>
              </w:rPr>
              <w:t xml:space="preserve">CPPP </w:t>
            </w:r>
            <w:r w:rsidR="0025743A">
              <w:rPr>
                <w:rFonts w:ascii="Arial" w:hAnsi="Arial" w:cs="Arial"/>
              </w:rPr>
              <w:t>suitability</w:t>
            </w:r>
            <w:r w:rsidR="008424F7">
              <w:rPr>
                <w:rFonts w:ascii="Arial" w:hAnsi="Arial" w:cs="Arial"/>
              </w:rPr>
              <w:t xml:space="preserve"> could also</w:t>
            </w:r>
            <w:r w:rsidR="00945A1F">
              <w:rPr>
                <w:rFonts w:ascii="Arial" w:hAnsi="Arial" w:cs="Arial"/>
              </w:rPr>
              <w:t xml:space="preserve"> </w:t>
            </w:r>
            <w:r w:rsidR="0025743A">
              <w:rPr>
                <w:rFonts w:ascii="Arial" w:hAnsi="Arial" w:cs="Arial"/>
              </w:rPr>
              <w:t xml:space="preserve">be identified during the course of the Cafcass </w:t>
            </w:r>
            <w:r w:rsidR="00945A1F">
              <w:rPr>
                <w:rFonts w:ascii="Arial" w:hAnsi="Arial" w:cs="Arial"/>
              </w:rPr>
              <w:t xml:space="preserve">Section 7 </w:t>
            </w:r>
            <w:r w:rsidR="0025743A">
              <w:rPr>
                <w:rFonts w:ascii="Arial" w:hAnsi="Arial" w:cs="Arial"/>
              </w:rPr>
              <w:t>process</w:t>
            </w:r>
            <w:r w:rsidR="00102F48">
              <w:rPr>
                <w:rFonts w:ascii="Arial" w:hAnsi="Arial" w:cs="Arial"/>
              </w:rPr>
              <w:t xml:space="preserve">. </w:t>
            </w:r>
            <w:r w:rsidR="00A202E3">
              <w:rPr>
                <w:rFonts w:ascii="Arial" w:hAnsi="Arial" w:cs="Arial"/>
              </w:rPr>
              <w:t xml:space="preserve">It may be appropriate in this situation for an </w:t>
            </w:r>
            <w:r w:rsidR="00945A1F">
              <w:rPr>
                <w:rFonts w:ascii="Arial" w:hAnsi="Arial" w:cs="Arial"/>
              </w:rPr>
              <w:t xml:space="preserve">addendum </w:t>
            </w:r>
            <w:r w:rsidR="00A202E3">
              <w:rPr>
                <w:rFonts w:ascii="Arial" w:hAnsi="Arial" w:cs="Arial"/>
              </w:rPr>
              <w:t>to be recommended and</w:t>
            </w:r>
            <w:r w:rsidR="00246E62">
              <w:rPr>
                <w:rFonts w:ascii="Arial" w:hAnsi="Arial" w:cs="Arial"/>
              </w:rPr>
              <w:t xml:space="preserve"> reported back to court via the CPPP report template. </w:t>
            </w:r>
            <w:r w:rsidR="005979D8">
              <w:rPr>
                <w:rFonts w:ascii="Arial" w:hAnsi="Arial" w:cs="Arial"/>
              </w:rPr>
              <w:t>The use of the CPPP intervention should be agreed in collaboration with the court</w:t>
            </w:r>
            <w:r w:rsidR="006E1D03">
              <w:rPr>
                <w:rFonts w:ascii="Arial" w:hAnsi="Arial" w:cs="Arial"/>
              </w:rPr>
              <w:t xml:space="preserve"> and included in the court order (as with rule 16.4 cases).</w:t>
            </w:r>
          </w:p>
          <w:p w14:paraId="630F3C0C" w14:textId="77777777" w:rsidR="0061283D" w:rsidRPr="00E248DE" w:rsidRDefault="00612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Rule 16.4 cases the threshold regarding complexity and the agreement that the criteria for 16.4 needs to be met first.</w:t>
            </w:r>
          </w:p>
          <w:p w14:paraId="5A7F73FF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6691DD18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1876680D" w14:textId="77777777" w:rsidTr="00741525">
        <w:trPr>
          <w:trHeight w:val="1016"/>
        </w:trPr>
        <w:tc>
          <w:tcPr>
            <w:tcW w:w="8376" w:type="dxa"/>
          </w:tcPr>
          <w:p w14:paraId="7F12D376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 xml:space="preserve">Parents have already attended </w:t>
            </w:r>
            <w:r w:rsidR="00C425AB" w:rsidRPr="00E248DE">
              <w:rPr>
                <w:rFonts w:ascii="Arial" w:hAnsi="Arial" w:cs="Arial"/>
              </w:rPr>
              <w:t>a Separated Parents Information Programme (</w:t>
            </w:r>
            <w:r w:rsidRPr="00E248DE">
              <w:rPr>
                <w:rFonts w:ascii="Arial" w:hAnsi="Arial" w:cs="Arial"/>
              </w:rPr>
              <w:t>SPIP</w:t>
            </w:r>
            <w:r w:rsidR="00C425AB" w:rsidRPr="00E248DE">
              <w:rPr>
                <w:rFonts w:ascii="Arial" w:hAnsi="Arial" w:cs="Arial"/>
              </w:rPr>
              <w:t>)</w:t>
            </w:r>
            <w:r w:rsidRPr="00E248DE">
              <w:rPr>
                <w:rFonts w:ascii="Arial" w:hAnsi="Arial" w:cs="Arial"/>
              </w:rPr>
              <w:t xml:space="preserve"> or are agreeable to doing so. I</w:t>
            </w:r>
            <w:r w:rsidR="003C619B" w:rsidRPr="00E248DE">
              <w:rPr>
                <w:rFonts w:ascii="Arial" w:hAnsi="Arial" w:cs="Arial"/>
              </w:rPr>
              <w:t>f this is not possible within timescales</w:t>
            </w:r>
            <w:r w:rsidR="00055CBD" w:rsidRPr="00E248DE">
              <w:rPr>
                <w:rFonts w:ascii="Arial" w:hAnsi="Arial" w:cs="Arial"/>
              </w:rPr>
              <w:t xml:space="preserve"> consideration to be given on how else this</w:t>
            </w:r>
            <w:r w:rsidR="005549D2" w:rsidRPr="00E248DE">
              <w:rPr>
                <w:rFonts w:ascii="Arial" w:hAnsi="Arial" w:cs="Arial"/>
              </w:rPr>
              <w:t xml:space="preserve"> work can be completed, for example accessing on-line parenting</w:t>
            </w:r>
            <w:r w:rsidR="006367FB" w:rsidRPr="00E248DE">
              <w:rPr>
                <w:rFonts w:ascii="Arial" w:hAnsi="Arial" w:cs="Arial"/>
              </w:rPr>
              <w:t xml:space="preserve"> educative programmes. </w:t>
            </w:r>
          </w:p>
        </w:tc>
        <w:tc>
          <w:tcPr>
            <w:tcW w:w="1126" w:type="dxa"/>
          </w:tcPr>
          <w:p w14:paraId="10474032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0D4979DA" w14:textId="77777777" w:rsidTr="00741525">
        <w:trPr>
          <w:trHeight w:val="251"/>
        </w:trPr>
        <w:tc>
          <w:tcPr>
            <w:tcW w:w="8376" w:type="dxa"/>
          </w:tcPr>
          <w:p w14:paraId="118282CF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 xml:space="preserve">Mediation has either been attempted already or is deemed </w:t>
            </w:r>
            <w:r w:rsidR="00401838" w:rsidRPr="00E248DE">
              <w:rPr>
                <w:rFonts w:ascii="Arial" w:hAnsi="Arial" w:cs="Arial"/>
              </w:rPr>
              <w:t>unsuitable.</w:t>
            </w:r>
          </w:p>
        </w:tc>
        <w:tc>
          <w:tcPr>
            <w:tcW w:w="1126" w:type="dxa"/>
          </w:tcPr>
          <w:p w14:paraId="56E0E8A2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7B8D4D7D" w14:textId="77777777" w:rsidTr="00741525">
        <w:trPr>
          <w:trHeight w:val="514"/>
        </w:trPr>
        <w:tc>
          <w:tcPr>
            <w:tcW w:w="8376" w:type="dxa"/>
          </w:tcPr>
          <w:p w14:paraId="56D4625B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 xml:space="preserve">Initial risk assessment must have already been completed with </w:t>
            </w:r>
            <w:r w:rsidR="008C2845" w:rsidRPr="00E248DE">
              <w:rPr>
                <w:rFonts w:ascii="Arial" w:hAnsi="Arial" w:cs="Arial"/>
              </w:rPr>
              <w:t xml:space="preserve">harmful </w:t>
            </w:r>
            <w:r w:rsidRPr="00E248DE">
              <w:rPr>
                <w:rFonts w:ascii="Arial" w:hAnsi="Arial" w:cs="Arial"/>
              </w:rPr>
              <w:t>parental conflict being identified as the most significant presenting risk to the child.</w:t>
            </w:r>
          </w:p>
        </w:tc>
        <w:tc>
          <w:tcPr>
            <w:tcW w:w="1126" w:type="dxa"/>
          </w:tcPr>
          <w:p w14:paraId="2CCE25CF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2692F4FA" w14:textId="77777777" w:rsidTr="00741525">
        <w:trPr>
          <w:trHeight w:val="502"/>
        </w:trPr>
        <w:tc>
          <w:tcPr>
            <w:tcW w:w="8376" w:type="dxa"/>
          </w:tcPr>
          <w:p w14:paraId="76E2A5B3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 xml:space="preserve">Other risks raised in the case have been sufficiently </w:t>
            </w:r>
            <w:r w:rsidR="00917C49" w:rsidRPr="00E248DE">
              <w:rPr>
                <w:rFonts w:ascii="Arial" w:hAnsi="Arial" w:cs="Arial"/>
              </w:rPr>
              <w:t xml:space="preserve">assessed and </w:t>
            </w:r>
            <w:r w:rsidRPr="00E248DE">
              <w:rPr>
                <w:rFonts w:ascii="Arial" w:hAnsi="Arial" w:cs="Arial"/>
              </w:rPr>
              <w:t>managed e.g. substance misuse</w:t>
            </w:r>
            <w:r w:rsidR="00F347F5" w:rsidRPr="00E248DE">
              <w:rPr>
                <w:rFonts w:ascii="Arial" w:hAnsi="Arial" w:cs="Arial"/>
              </w:rPr>
              <w:t>,</w:t>
            </w:r>
            <w:r w:rsidRPr="00E248DE">
              <w:rPr>
                <w:rFonts w:ascii="Arial" w:hAnsi="Arial" w:cs="Arial"/>
              </w:rPr>
              <w:t xml:space="preserve"> mental health </w:t>
            </w:r>
            <w:r w:rsidR="00200C76" w:rsidRPr="00E248DE">
              <w:rPr>
                <w:rFonts w:ascii="Arial" w:hAnsi="Arial" w:cs="Arial"/>
              </w:rPr>
              <w:t xml:space="preserve">difficulties </w:t>
            </w:r>
            <w:r w:rsidRPr="00E248DE">
              <w:rPr>
                <w:rFonts w:ascii="Arial" w:hAnsi="Arial" w:cs="Arial"/>
              </w:rPr>
              <w:t xml:space="preserve">or allegations of </w:t>
            </w:r>
            <w:r w:rsidR="00F347F5" w:rsidRPr="00E248DE">
              <w:rPr>
                <w:rFonts w:ascii="Arial" w:hAnsi="Arial" w:cs="Arial"/>
              </w:rPr>
              <w:t>domestic abuse</w:t>
            </w:r>
            <w:r w:rsidR="00D36532" w:rsidRPr="00E248D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26" w:type="dxa"/>
          </w:tcPr>
          <w:p w14:paraId="6FFBB671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33AB2E37" w14:textId="77777777" w:rsidTr="00741525">
        <w:trPr>
          <w:trHeight w:val="514"/>
        </w:trPr>
        <w:tc>
          <w:tcPr>
            <w:tcW w:w="8376" w:type="dxa"/>
          </w:tcPr>
          <w:p w14:paraId="6ECCF242" w14:textId="77777777" w:rsidR="004D559E" w:rsidRPr="00E248DE" w:rsidRDefault="00A72838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Both parents have expressed a willingness to engage in the programme</w:t>
            </w:r>
            <w:r w:rsidR="00AC5242" w:rsidRPr="00E248DE">
              <w:rPr>
                <w:rFonts w:ascii="Arial" w:hAnsi="Arial" w:cs="Arial"/>
              </w:rPr>
              <w:t xml:space="preserve"> (having </w:t>
            </w:r>
            <w:r w:rsidR="0047370C" w:rsidRPr="00E248DE">
              <w:rPr>
                <w:rFonts w:ascii="Arial" w:hAnsi="Arial" w:cs="Arial"/>
              </w:rPr>
              <w:t>b</w:t>
            </w:r>
            <w:r w:rsidR="00D36532" w:rsidRPr="00E248DE">
              <w:rPr>
                <w:rFonts w:ascii="Arial" w:hAnsi="Arial" w:cs="Arial"/>
              </w:rPr>
              <w:t>een</w:t>
            </w:r>
            <w:r w:rsidR="0047370C" w:rsidRPr="00E248DE">
              <w:rPr>
                <w:rFonts w:ascii="Arial" w:hAnsi="Arial" w:cs="Arial"/>
              </w:rPr>
              <w:t xml:space="preserve"> provided with the relevant </w:t>
            </w:r>
            <w:hyperlink r:id="rId15" w:history="1">
              <w:r w:rsidR="0047370C" w:rsidRPr="00D3240F">
                <w:rPr>
                  <w:rStyle w:val="Hyperlink"/>
                  <w:rFonts w:ascii="Arial" w:hAnsi="Arial" w:cs="Arial"/>
                </w:rPr>
                <w:t>CPPP information leaflet</w:t>
              </w:r>
            </w:hyperlink>
            <w:r w:rsidR="0047370C" w:rsidRPr="00E248DE">
              <w:rPr>
                <w:rFonts w:ascii="Arial" w:hAnsi="Arial" w:cs="Arial"/>
              </w:rPr>
              <w:t>)</w:t>
            </w:r>
            <w:r w:rsidRPr="00E248DE">
              <w:rPr>
                <w:rFonts w:ascii="Arial" w:hAnsi="Arial" w:cs="Arial"/>
              </w:rPr>
              <w:t xml:space="preserve"> as an attempt to conclude </w:t>
            </w:r>
            <w:r w:rsidR="00064C35" w:rsidRPr="00E248DE">
              <w:rPr>
                <w:rFonts w:ascii="Arial" w:hAnsi="Arial" w:cs="Arial"/>
              </w:rPr>
              <w:t xml:space="preserve">their child’s </w:t>
            </w:r>
            <w:r w:rsidRPr="00E248DE">
              <w:rPr>
                <w:rFonts w:ascii="Arial" w:hAnsi="Arial" w:cs="Arial"/>
              </w:rPr>
              <w:t>proceedings</w:t>
            </w:r>
            <w:r w:rsidR="00F347F5" w:rsidRPr="00E248DE">
              <w:rPr>
                <w:rFonts w:ascii="Arial" w:hAnsi="Arial" w:cs="Arial"/>
              </w:rPr>
              <w:t>.</w:t>
            </w:r>
            <w:r w:rsidR="002D701A" w:rsidRPr="00E248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6" w:type="dxa"/>
          </w:tcPr>
          <w:p w14:paraId="4776CD34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0376F5" w:rsidRPr="00E248DE" w14:paraId="2274D4DD" w14:textId="77777777" w:rsidTr="002F2593">
        <w:trPr>
          <w:trHeight w:val="409"/>
        </w:trPr>
        <w:tc>
          <w:tcPr>
            <w:tcW w:w="8376" w:type="dxa"/>
          </w:tcPr>
          <w:p w14:paraId="4918C427" w14:textId="77777777" w:rsidR="000376F5" w:rsidRPr="00E248DE" w:rsidRDefault="0062114A" w:rsidP="007343B6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Expectation that parents can or would consider being in the same room and work jointly.</w:t>
            </w:r>
            <w:r w:rsidR="009D4980" w:rsidRPr="00E248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6" w:type="dxa"/>
          </w:tcPr>
          <w:p w14:paraId="5629F3A5" w14:textId="77777777" w:rsidR="000376F5" w:rsidRPr="00E248DE" w:rsidRDefault="000376F5" w:rsidP="002E21BE">
            <w:pPr>
              <w:rPr>
                <w:rFonts w:ascii="Arial" w:hAnsi="Arial" w:cs="Arial"/>
              </w:rPr>
            </w:pPr>
          </w:p>
        </w:tc>
      </w:tr>
      <w:tr w:rsidR="007343B6" w:rsidRPr="00E248DE" w14:paraId="7BAD01A2" w14:textId="77777777" w:rsidTr="002F2593">
        <w:trPr>
          <w:trHeight w:val="409"/>
        </w:trPr>
        <w:tc>
          <w:tcPr>
            <w:tcW w:w="8376" w:type="dxa"/>
          </w:tcPr>
          <w:p w14:paraId="7716E68B" w14:textId="77777777" w:rsidR="007343B6" w:rsidRPr="00E248DE" w:rsidRDefault="007343B6" w:rsidP="007343B6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 xml:space="preserve">Consultation with the relevant area CPPP Lead Manager to confirm suitability and availability of a trained CPPP practitioner to </w:t>
            </w:r>
            <w:r w:rsidR="003D5D86" w:rsidRPr="00E248DE">
              <w:rPr>
                <w:rFonts w:ascii="Arial" w:hAnsi="Arial" w:cs="Arial"/>
              </w:rPr>
              <w:t>be allocated</w:t>
            </w:r>
            <w:r w:rsidRPr="00E248DE">
              <w:rPr>
                <w:rFonts w:ascii="Arial" w:hAnsi="Arial" w:cs="Arial"/>
              </w:rPr>
              <w:t xml:space="preserve"> or </w:t>
            </w:r>
            <w:r w:rsidR="003D5D86" w:rsidRPr="00E248DE">
              <w:rPr>
                <w:rFonts w:ascii="Arial" w:hAnsi="Arial" w:cs="Arial"/>
              </w:rPr>
              <w:t xml:space="preserve">to </w:t>
            </w:r>
            <w:r w:rsidRPr="00E248DE">
              <w:rPr>
                <w:rFonts w:ascii="Arial" w:hAnsi="Arial" w:cs="Arial"/>
              </w:rPr>
              <w:t xml:space="preserve">co-work the case.  </w:t>
            </w:r>
          </w:p>
        </w:tc>
        <w:tc>
          <w:tcPr>
            <w:tcW w:w="1126" w:type="dxa"/>
          </w:tcPr>
          <w:p w14:paraId="44974E8B" w14:textId="77777777" w:rsidR="007343B6" w:rsidRPr="00E248DE" w:rsidRDefault="007343B6" w:rsidP="002E21BE">
            <w:pPr>
              <w:rPr>
                <w:rFonts w:ascii="Arial" w:hAnsi="Arial" w:cs="Arial"/>
              </w:rPr>
            </w:pPr>
          </w:p>
        </w:tc>
      </w:tr>
      <w:tr w:rsidR="004D559E" w:rsidRPr="00E248DE" w14:paraId="101DF9BA" w14:textId="77777777" w:rsidTr="00741525">
        <w:trPr>
          <w:trHeight w:val="251"/>
        </w:trPr>
        <w:tc>
          <w:tcPr>
            <w:tcW w:w="8376" w:type="dxa"/>
            <w:shd w:val="clear" w:color="auto" w:fill="ED7D31" w:themeFill="accent2"/>
          </w:tcPr>
          <w:p w14:paraId="3724AD92" w14:textId="77777777" w:rsidR="004D559E" w:rsidRPr="00E248DE" w:rsidRDefault="004D559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248DE">
              <w:rPr>
                <w:rFonts w:ascii="Arial" w:hAnsi="Arial" w:cs="Arial"/>
                <w:b/>
                <w:color w:val="FFFFFF" w:themeColor="background1"/>
              </w:rPr>
              <w:t xml:space="preserve">Case indicators </w:t>
            </w:r>
          </w:p>
        </w:tc>
        <w:tc>
          <w:tcPr>
            <w:tcW w:w="1126" w:type="dxa"/>
            <w:shd w:val="clear" w:color="auto" w:fill="ED7D31" w:themeFill="accent2"/>
          </w:tcPr>
          <w:p w14:paraId="15238E7C" w14:textId="77777777" w:rsidR="004D559E" w:rsidRPr="00E248DE" w:rsidRDefault="00AE7CE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E248DE">
              <w:rPr>
                <w:rFonts w:ascii="Arial" w:hAnsi="Arial" w:cs="Arial"/>
                <w:b/>
                <w:color w:val="FFFFFF" w:themeColor="background1"/>
              </w:rPr>
              <w:t>Tick box</w:t>
            </w:r>
          </w:p>
        </w:tc>
      </w:tr>
      <w:tr w:rsidR="004D559E" w:rsidRPr="00E248DE" w14:paraId="5A42FDD2" w14:textId="77777777" w:rsidTr="00741525">
        <w:trPr>
          <w:trHeight w:val="514"/>
        </w:trPr>
        <w:tc>
          <w:tcPr>
            <w:tcW w:w="8376" w:type="dxa"/>
          </w:tcPr>
          <w:p w14:paraId="6901FD67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The focus of conflict has shifted into more personal conflict, rather than issue based</w:t>
            </w:r>
            <w:r w:rsidR="00F347F5" w:rsidRPr="00E248DE">
              <w:rPr>
                <w:rFonts w:ascii="Arial" w:hAnsi="Arial" w:cs="Arial"/>
              </w:rPr>
              <w:t>. S</w:t>
            </w:r>
            <w:r w:rsidRPr="00E248DE">
              <w:rPr>
                <w:rFonts w:ascii="Arial" w:hAnsi="Arial" w:cs="Arial"/>
              </w:rPr>
              <w:t xml:space="preserve">ee Weingarten and Leas (1987) typology. </w:t>
            </w:r>
          </w:p>
        </w:tc>
        <w:tc>
          <w:tcPr>
            <w:tcW w:w="1126" w:type="dxa"/>
          </w:tcPr>
          <w:p w14:paraId="0C635866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6D951B66" w14:textId="77777777" w:rsidTr="00741525">
        <w:trPr>
          <w:trHeight w:val="514"/>
        </w:trPr>
        <w:tc>
          <w:tcPr>
            <w:tcW w:w="8376" w:type="dxa"/>
          </w:tcPr>
          <w:p w14:paraId="5710470A" w14:textId="77777777" w:rsidR="004D559E" w:rsidRPr="00E248DE" w:rsidRDefault="00E506F0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 xml:space="preserve">Domestic </w:t>
            </w:r>
            <w:r w:rsidR="00F347F5" w:rsidRPr="00E248DE">
              <w:rPr>
                <w:rFonts w:ascii="Arial" w:hAnsi="Arial" w:cs="Arial"/>
              </w:rPr>
              <w:t>a</w:t>
            </w:r>
            <w:r w:rsidRPr="00E248DE">
              <w:rPr>
                <w:rFonts w:ascii="Arial" w:hAnsi="Arial" w:cs="Arial"/>
              </w:rPr>
              <w:t xml:space="preserve">buse as situational couple Violence (SCV) can be evident as a feature of the conflict. The Domestic Abuse Pathway should be consulted for further guidance </w:t>
            </w:r>
            <w:r w:rsidRPr="00E248DE">
              <w:rPr>
                <w:rFonts w:ascii="Arial" w:hAnsi="Arial" w:cs="Arial"/>
              </w:rPr>
              <w:lastRenderedPageBreak/>
              <w:t xml:space="preserve">regarding risk and impact. </w:t>
            </w:r>
            <w:r w:rsidR="003D18C8" w:rsidRPr="00E248DE">
              <w:rPr>
                <w:rFonts w:ascii="Arial" w:hAnsi="Arial" w:cs="Arial"/>
              </w:rPr>
              <w:t xml:space="preserve">See CIAF and consider using the tool to distinguishing </w:t>
            </w:r>
            <w:r w:rsidR="008111AD" w:rsidRPr="00E248DE">
              <w:rPr>
                <w:rFonts w:ascii="Arial" w:hAnsi="Arial" w:cs="Arial"/>
              </w:rPr>
              <w:t xml:space="preserve">parental conflict and domestic abuse. </w:t>
            </w:r>
          </w:p>
        </w:tc>
        <w:tc>
          <w:tcPr>
            <w:tcW w:w="1126" w:type="dxa"/>
          </w:tcPr>
          <w:p w14:paraId="26823E19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6BC35C8C" w14:textId="77777777" w:rsidTr="00741525">
        <w:trPr>
          <w:trHeight w:val="251"/>
        </w:trPr>
        <w:tc>
          <w:tcPr>
            <w:tcW w:w="8376" w:type="dxa"/>
          </w:tcPr>
          <w:p w14:paraId="0C48FB7D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Parental focus on ‘winning’</w:t>
            </w:r>
            <w:r w:rsidR="00F32643" w:rsidRPr="00E248DE">
              <w:rPr>
                <w:rFonts w:ascii="Arial" w:hAnsi="Arial" w:cs="Arial"/>
              </w:rPr>
              <w:t xml:space="preserve"> or </w:t>
            </w:r>
            <w:r w:rsidR="00373858" w:rsidRPr="00E248DE">
              <w:rPr>
                <w:rFonts w:ascii="Arial" w:hAnsi="Arial" w:cs="Arial"/>
              </w:rPr>
              <w:t>adult conflict</w:t>
            </w:r>
            <w:r w:rsidRPr="00E248DE">
              <w:rPr>
                <w:rFonts w:ascii="Arial" w:hAnsi="Arial" w:cs="Arial"/>
              </w:rPr>
              <w:t xml:space="preserve">, rather than </w:t>
            </w:r>
            <w:r w:rsidR="00F347F5" w:rsidRPr="00E248DE">
              <w:rPr>
                <w:rFonts w:ascii="Arial" w:hAnsi="Arial" w:cs="Arial"/>
              </w:rPr>
              <w:t xml:space="preserve">being </w:t>
            </w:r>
            <w:r w:rsidRPr="00E248DE">
              <w:rPr>
                <w:rFonts w:ascii="Arial" w:hAnsi="Arial" w:cs="Arial"/>
              </w:rPr>
              <w:t>child centred</w:t>
            </w:r>
            <w:r w:rsidR="006355B6" w:rsidRPr="00E248DE">
              <w:rPr>
                <w:rFonts w:ascii="Arial" w:hAnsi="Arial" w:cs="Arial"/>
              </w:rPr>
              <w:t>.</w:t>
            </w:r>
          </w:p>
        </w:tc>
        <w:tc>
          <w:tcPr>
            <w:tcW w:w="1126" w:type="dxa"/>
          </w:tcPr>
          <w:p w14:paraId="66E49F62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16F33D47" w14:textId="77777777" w:rsidTr="00741525">
        <w:trPr>
          <w:trHeight w:val="251"/>
        </w:trPr>
        <w:tc>
          <w:tcPr>
            <w:tcW w:w="8376" w:type="dxa"/>
          </w:tcPr>
          <w:p w14:paraId="40C260EB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Intrinsic negative views, attitudes, feelings and beliefs towards each other</w:t>
            </w:r>
            <w:r w:rsidR="008111AD" w:rsidRPr="00E248DE">
              <w:rPr>
                <w:rFonts w:ascii="Arial" w:hAnsi="Arial" w:cs="Arial"/>
              </w:rPr>
              <w:t>.</w:t>
            </w:r>
          </w:p>
        </w:tc>
        <w:tc>
          <w:tcPr>
            <w:tcW w:w="1126" w:type="dxa"/>
          </w:tcPr>
          <w:p w14:paraId="7C0CED29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07C487DD" w14:textId="77777777" w:rsidTr="00741525">
        <w:trPr>
          <w:trHeight w:val="251"/>
        </w:trPr>
        <w:tc>
          <w:tcPr>
            <w:tcW w:w="8376" w:type="dxa"/>
          </w:tcPr>
          <w:p w14:paraId="0C82782E" w14:textId="77777777" w:rsidR="004D559E" w:rsidRPr="008516C7" w:rsidRDefault="004D559E">
            <w:pPr>
              <w:rPr>
                <w:rFonts w:ascii="Arial" w:hAnsi="Arial" w:cs="Arial"/>
                <w:highlight w:val="yellow"/>
              </w:rPr>
            </w:pPr>
            <w:r w:rsidRPr="0094173D">
              <w:rPr>
                <w:rFonts w:ascii="Arial" w:hAnsi="Arial" w:cs="Arial"/>
              </w:rPr>
              <w:t>Repeat returns to court</w:t>
            </w:r>
            <w:r w:rsidR="00645EE0" w:rsidRPr="0094173D">
              <w:rPr>
                <w:rFonts w:ascii="Arial" w:hAnsi="Arial" w:cs="Arial"/>
              </w:rPr>
              <w:t xml:space="preserve"> </w:t>
            </w:r>
            <w:r w:rsidR="0094173D" w:rsidRPr="0094173D">
              <w:rPr>
                <w:rFonts w:ascii="Arial" w:hAnsi="Arial" w:cs="Arial"/>
              </w:rPr>
              <w:t xml:space="preserve">for </w:t>
            </w:r>
            <w:r w:rsidR="003A3835" w:rsidRPr="0094173D">
              <w:rPr>
                <w:rFonts w:ascii="Arial" w:hAnsi="Arial" w:cs="Arial"/>
              </w:rPr>
              <w:t xml:space="preserve">enforcement applications. </w:t>
            </w:r>
          </w:p>
        </w:tc>
        <w:tc>
          <w:tcPr>
            <w:tcW w:w="1126" w:type="dxa"/>
          </w:tcPr>
          <w:p w14:paraId="044936B6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712126FC" w14:textId="77777777" w:rsidTr="00741525">
        <w:trPr>
          <w:trHeight w:val="514"/>
        </w:trPr>
        <w:tc>
          <w:tcPr>
            <w:tcW w:w="8376" w:type="dxa"/>
          </w:tcPr>
          <w:p w14:paraId="199CCF0D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 xml:space="preserve">Repeated allegations of </w:t>
            </w:r>
            <w:r w:rsidR="002A1B14" w:rsidRPr="00E248DE">
              <w:rPr>
                <w:rFonts w:ascii="Arial" w:hAnsi="Arial" w:cs="Arial"/>
              </w:rPr>
              <w:t xml:space="preserve">abuse that </w:t>
            </w:r>
            <w:r w:rsidR="00200C76" w:rsidRPr="00E248DE">
              <w:rPr>
                <w:rFonts w:ascii="Arial" w:hAnsi="Arial" w:cs="Arial"/>
              </w:rPr>
              <w:t>appear to be</w:t>
            </w:r>
            <w:r w:rsidR="002A1B14" w:rsidRPr="00E248DE">
              <w:rPr>
                <w:rFonts w:ascii="Arial" w:hAnsi="Arial" w:cs="Arial"/>
              </w:rPr>
              <w:t xml:space="preserve"> unsubstantiated (if this </w:t>
            </w:r>
            <w:r w:rsidRPr="00E248DE">
              <w:rPr>
                <w:rFonts w:ascii="Arial" w:hAnsi="Arial" w:cs="Arial"/>
              </w:rPr>
              <w:t>indicat</w:t>
            </w:r>
            <w:r w:rsidR="002A1B14" w:rsidRPr="00E248DE">
              <w:rPr>
                <w:rFonts w:ascii="Arial" w:hAnsi="Arial" w:cs="Arial"/>
              </w:rPr>
              <w:t>es</w:t>
            </w:r>
            <w:r w:rsidRPr="00E248DE">
              <w:rPr>
                <w:rFonts w:ascii="Arial" w:hAnsi="Arial" w:cs="Arial"/>
              </w:rPr>
              <w:t xml:space="preserve"> alienating behaviours or mental health factors</w:t>
            </w:r>
            <w:r w:rsidR="0038639F" w:rsidRPr="00E248DE">
              <w:rPr>
                <w:rFonts w:ascii="Arial" w:hAnsi="Arial" w:cs="Arial"/>
              </w:rPr>
              <w:t>,</w:t>
            </w:r>
            <w:r w:rsidRPr="00E248DE">
              <w:rPr>
                <w:rFonts w:ascii="Arial" w:hAnsi="Arial" w:cs="Arial"/>
              </w:rPr>
              <w:t xml:space="preserve"> additional intervention</w:t>
            </w:r>
            <w:r w:rsidR="002A1B14" w:rsidRPr="00E248DE">
              <w:rPr>
                <w:rFonts w:ascii="Arial" w:hAnsi="Arial" w:cs="Arial"/>
              </w:rPr>
              <w:t xml:space="preserve"> may need to be considered)</w:t>
            </w:r>
            <w:r w:rsidRPr="00E248DE">
              <w:rPr>
                <w:rFonts w:ascii="Arial" w:hAnsi="Arial" w:cs="Arial"/>
              </w:rPr>
              <w:t>.</w:t>
            </w:r>
          </w:p>
        </w:tc>
        <w:tc>
          <w:tcPr>
            <w:tcW w:w="1126" w:type="dxa"/>
          </w:tcPr>
          <w:p w14:paraId="2FBFEE2E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14269587" w14:textId="77777777" w:rsidTr="00741525">
        <w:trPr>
          <w:trHeight w:val="502"/>
        </w:trPr>
        <w:tc>
          <w:tcPr>
            <w:tcW w:w="8376" w:type="dxa"/>
          </w:tcPr>
          <w:p w14:paraId="1FE18E4E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There is some evidence of alienating behaviours, but parents still express a willingness to engage in change/</w:t>
            </w:r>
            <w:r w:rsidR="00200C76" w:rsidRPr="00E248DE">
              <w:rPr>
                <w:rFonts w:ascii="Arial" w:hAnsi="Arial" w:cs="Arial"/>
              </w:rPr>
              <w:t xml:space="preserve"> intervention</w:t>
            </w:r>
            <w:r w:rsidRPr="00E248DE">
              <w:rPr>
                <w:rFonts w:ascii="Arial" w:hAnsi="Arial" w:cs="Arial"/>
              </w:rPr>
              <w:t xml:space="preserve"> work. </w:t>
            </w:r>
          </w:p>
        </w:tc>
        <w:tc>
          <w:tcPr>
            <w:tcW w:w="1126" w:type="dxa"/>
          </w:tcPr>
          <w:p w14:paraId="2B1D0A73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5CF9B56D" w14:textId="77777777" w:rsidTr="00741525">
        <w:trPr>
          <w:trHeight w:val="514"/>
        </w:trPr>
        <w:tc>
          <w:tcPr>
            <w:tcW w:w="8376" w:type="dxa"/>
          </w:tcPr>
          <w:p w14:paraId="274314EA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There are elements of criticism, contempt, defensiveness</w:t>
            </w:r>
            <w:r w:rsidR="0038639F" w:rsidRPr="00E248DE">
              <w:rPr>
                <w:rFonts w:ascii="Arial" w:hAnsi="Arial" w:cs="Arial"/>
              </w:rPr>
              <w:t xml:space="preserve"> or</w:t>
            </w:r>
            <w:r w:rsidRPr="00E248DE">
              <w:rPr>
                <w:rFonts w:ascii="Arial" w:hAnsi="Arial" w:cs="Arial"/>
              </w:rPr>
              <w:t xml:space="preserve"> stonewalling but parents still express a willingness to engage in </w:t>
            </w:r>
            <w:r w:rsidR="00373858" w:rsidRPr="00E248DE">
              <w:rPr>
                <w:rFonts w:ascii="Arial" w:hAnsi="Arial" w:cs="Arial"/>
              </w:rPr>
              <w:t xml:space="preserve">a </w:t>
            </w:r>
            <w:r w:rsidRPr="00E248DE">
              <w:rPr>
                <w:rFonts w:ascii="Arial" w:hAnsi="Arial" w:cs="Arial"/>
              </w:rPr>
              <w:t>change</w:t>
            </w:r>
            <w:r w:rsidR="00373858" w:rsidRPr="00E248DE">
              <w:rPr>
                <w:rFonts w:ascii="Arial" w:hAnsi="Arial" w:cs="Arial"/>
              </w:rPr>
              <w:t xml:space="preserve"> programme</w:t>
            </w:r>
            <w:r w:rsidRPr="00E248D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26" w:type="dxa"/>
          </w:tcPr>
          <w:p w14:paraId="538629AD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23FFD079" w14:textId="77777777" w:rsidTr="00741525">
        <w:trPr>
          <w:trHeight w:val="1016"/>
        </w:trPr>
        <w:tc>
          <w:tcPr>
            <w:tcW w:w="8376" w:type="dxa"/>
          </w:tcPr>
          <w:p w14:paraId="72B1FFCB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If feelings give way to helplessness, rage and revenge, the case might not be suitable for a joint meeting</w:t>
            </w:r>
            <w:r w:rsidR="0038639F" w:rsidRPr="00E248DE">
              <w:rPr>
                <w:rFonts w:ascii="Arial" w:hAnsi="Arial" w:cs="Arial"/>
              </w:rPr>
              <w:t>. I</w:t>
            </w:r>
            <w:r w:rsidRPr="00E248DE">
              <w:rPr>
                <w:rFonts w:ascii="Arial" w:hAnsi="Arial" w:cs="Arial"/>
              </w:rPr>
              <w:t>ndividual meetings can be used to further assess suitability. Consideration can also be given to carrying out the joint meeting on a ‘shuttle’ basis</w:t>
            </w:r>
            <w:r w:rsidR="00E94B61" w:rsidRPr="00E248DE">
              <w:rPr>
                <w:rFonts w:ascii="Arial" w:hAnsi="Arial" w:cs="Arial"/>
              </w:rPr>
              <w:t>, keeping the parents separate and moving between meetings</w:t>
            </w:r>
            <w:r w:rsidRPr="00E248DE">
              <w:rPr>
                <w:rFonts w:ascii="Arial" w:hAnsi="Arial" w:cs="Arial"/>
              </w:rPr>
              <w:t>.</w:t>
            </w:r>
          </w:p>
        </w:tc>
        <w:tc>
          <w:tcPr>
            <w:tcW w:w="1126" w:type="dxa"/>
          </w:tcPr>
          <w:p w14:paraId="31AF0FD9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  <w:tr w:rsidR="004D559E" w:rsidRPr="00E248DE" w14:paraId="11F9B0B8" w14:textId="77777777" w:rsidTr="00741525">
        <w:trPr>
          <w:trHeight w:val="274"/>
        </w:trPr>
        <w:tc>
          <w:tcPr>
            <w:tcW w:w="8376" w:type="dxa"/>
          </w:tcPr>
          <w:p w14:paraId="27ED873A" w14:textId="77777777" w:rsidR="004D559E" w:rsidRPr="00E248DE" w:rsidRDefault="004D559E">
            <w:pPr>
              <w:rPr>
                <w:rFonts w:ascii="Arial" w:hAnsi="Arial" w:cs="Arial"/>
              </w:rPr>
            </w:pPr>
            <w:r w:rsidRPr="00E248DE">
              <w:rPr>
                <w:rFonts w:ascii="Arial" w:hAnsi="Arial" w:cs="Arial"/>
              </w:rPr>
              <w:t>Concern</w:t>
            </w:r>
            <w:r w:rsidR="0038639F" w:rsidRPr="00E248DE">
              <w:rPr>
                <w:rFonts w:ascii="Arial" w:hAnsi="Arial" w:cs="Arial"/>
              </w:rPr>
              <w:t>s have been</w:t>
            </w:r>
            <w:r w:rsidRPr="00E248DE">
              <w:rPr>
                <w:rFonts w:ascii="Arial" w:hAnsi="Arial" w:cs="Arial"/>
              </w:rPr>
              <w:t xml:space="preserve"> expressed by other professionals (e.g. school) regarding </w:t>
            </w:r>
            <w:r w:rsidR="0038639F" w:rsidRPr="00E248DE">
              <w:rPr>
                <w:rFonts w:ascii="Arial" w:hAnsi="Arial" w:cs="Arial"/>
              </w:rPr>
              <w:t>the</w:t>
            </w:r>
            <w:r w:rsidRPr="00E248DE">
              <w:rPr>
                <w:rFonts w:ascii="Arial" w:hAnsi="Arial" w:cs="Arial"/>
              </w:rPr>
              <w:t xml:space="preserve"> impact of parental conflict</w:t>
            </w:r>
            <w:r w:rsidR="0038639F" w:rsidRPr="00E248DE">
              <w:rPr>
                <w:rFonts w:ascii="Arial" w:hAnsi="Arial" w:cs="Arial"/>
              </w:rPr>
              <w:t xml:space="preserve"> </w:t>
            </w:r>
            <w:r w:rsidRPr="00E248DE">
              <w:rPr>
                <w:rFonts w:ascii="Arial" w:hAnsi="Arial" w:cs="Arial"/>
              </w:rPr>
              <w:t xml:space="preserve">on the child. </w:t>
            </w:r>
          </w:p>
        </w:tc>
        <w:tc>
          <w:tcPr>
            <w:tcW w:w="1126" w:type="dxa"/>
          </w:tcPr>
          <w:p w14:paraId="5E698AAB" w14:textId="77777777" w:rsidR="004D559E" w:rsidRPr="00E248DE" w:rsidRDefault="004D559E">
            <w:pPr>
              <w:rPr>
                <w:rFonts w:ascii="Arial" w:hAnsi="Arial" w:cs="Arial"/>
              </w:rPr>
            </w:pPr>
          </w:p>
        </w:tc>
      </w:tr>
    </w:tbl>
    <w:p w14:paraId="32FD3A38" w14:textId="77777777" w:rsidR="00E248DE" w:rsidRPr="00E248DE" w:rsidRDefault="00E248DE">
      <w:pPr>
        <w:rPr>
          <w:rFonts w:ascii="Arial" w:hAnsi="Arial" w:cs="Arial"/>
          <w:b/>
          <w:u w:val="single"/>
        </w:rPr>
      </w:pPr>
    </w:p>
    <w:p w14:paraId="37AF32BD" w14:textId="77777777" w:rsidR="00687A75" w:rsidRPr="00E248DE" w:rsidRDefault="00687A75">
      <w:pPr>
        <w:rPr>
          <w:rFonts w:ascii="Arial" w:hAnsi="Arial" w:cs="Arial"/>
          <w:b/>
          <w:u w:val="single"/>
        </w:rPr>
      </w:pPr>
      <w:r w:rsidRPr="00E248DE">
        <w:rPr>
          <w:rFonts w:ascii="Arial" w:hAnsi="Arial" w:cs="Arial"/>
          <w:b/>
          <w:u w:val="single"/>
        </w:rPr>
        <w:t>Analysis:</w:t>
      </w:r>
    </w:p>
    <w:p w14:paraId="573A3F92" w14:textId="77777777" w:rsidR="00EA616C" w:rsidRPr="00E248DE" w:rsidRDefault="00EA616C">
      <w:pPr>
        <w:rPr>
          <w:rFonts w:ascii="Arial" w:hAnsi="Arial" w:cs="Arial"/>
        </w:rPr>
      </w:pPr>
      <w:r w:rsidRPr="00E248DE">
        <w:rPr>
          <w:rFonts w:ascii="Arial" w:hAnsi="Arial" w:cs="Arial"/>
        </w:rPr>
        <w:t>Provide a summary of your overview analysis</w:t>
      </w:r>
      <w:r w:rsidR="0038639F" w:rsidRPr="00E248DE">
        <w:rPr>
          <w:rFonts w:ascii="Arial" w:hAnsi="Arial" w:cs="Arial"/>
        </w:rPr>
        <w:t>,</w:t>
      </w:r>
      <w:r w:rsidRPr="00E248DE">
        <w:rPr>
          <w:rFonts w:ascii="Arial" w:hAnsi="Arial" w:cs="Arial"/>
        </w:rPr>
        <w:t xml:space="preserve"> taking account of the above responses</w:t>
      </w:r>
      <w:r w:rsidR="00D3240F">
        <w:rPr>
          <w:rFonts w:ascii="Arial" w:hAnsi="Arial" w:cs="Arial"/>
        </w:rPr>
        <w:t>.</w:t>
      </w:r>
    </w:p>
    <w:p w14:paraId="70A5A5BE" w14:textId="77777777" w:rsidR="00D94ECB" w:rsidRPr="00E248DE" w:rsidRDefault="00EA616C">
      <w:pPr>
        <w:rPr>
          <w:rFonts w:ascii="Arial" w:hAnsi="Arial" w:cs="Arial"/>
          <w:b/>
        </w:rPr>
      </w:pPr>
      <w:r w:rsidRPr="00E248DE">
        <w:rPr>
          <w:rFonts w:ascii="Arial" w:hAnsi="Arial" w:cs="Arial"/>
          <w:b/>
        </w:rPr>
        <w:t>Y</w:t>
      </w:r>
      <w:r w:rsidR="0038639F" w:rsidRPr="00E248DE">
        <w:rPr>
          <w:rFonts w:ascii="Arial" w:hAnsi="Arial" w:cs="Arial"/>
          <w:b/>
        </w:rPr>
        <w:t>es</w:t>
      </w:r>
      <w:r w:rsidR="002A3E4F" w:rsidRPr="00E248DE">
        <w:rPr>
          <w:rFonts w:ascii="Arial" w:hAnsi="Arial" w:cs="Arial"/>
          <w:b/>
        </w:rPr>
        <w:t xml:space="preserve">: </w:t>
      </w:r>
    </w:p>
    <w:p w14:paraId="1DD464D5" w14:textId="77777777" w:rsidR="00D94ECB" w:rsidRPr="00E248DE" w:rsidRDefault="00D94ECB" w:rsidP="00D94ECB">
      <w:pPr>
        <w:rPr>
          <w:rFonts w:ascii="Arial" w:hAnsi="Arial" w:cs="Arial"/>
        </w:rPr>
      </w:pPr>
      <w:r w:rsidRPr="00E248DE">
        <w:rPr>
          <w:rFonts w:ascii="Arial" w:hAnsi="Arial" w:cs="Arial"/>
        </w:rPr>
        <w:t xml:space="preserve">If a case is deemed appropriate for CPPP, </w:t>
      </w:r>
      <w:hyperlink r:id="rId16" w:history="1">
        <w:r w:rsidRPr="00E248DE">
          <w:rPr>
            <w:rStyle w:val="Hyperlink"/>
            <w:rFonts w:ascii="Arial" w:hAnsi="Arial" w:cs="Arial"/>
          </w:rPr>
          <w:t>click here</w:t>
        </w:r>
      </w:hyperlink>
      <w:r w:rsidRPr="00E248DE">
        <w:rPr>
          <w:rFonts w:ascii="Arial" w:hAnsi="Arial" w:cs="Arial"/>
        </w:rPr>
        <w:t xml:space="preserve"> for further </w:t>
      </w:r>
      <w:r w:rsidRPr="00E248DE">
        <w:rPr>
          <w:rFonts w:ascii="Arial" w:hAnsi="Arial" w:cs="Arial"/>
          <w:b/>
        </w:rPr>
        <w:t>guidance</w:t>
      </w:r>
      <w:r w:rsidRPr="00E248DE">
        <w:rPr>
          <w:rFonts w:ascii="Arial" w:hAnsi="Arial" w:cs="Arial"/>
        </w:rPr>
        <w:t xml:space="preserve"> on the CPPP referral process and for the CPPP handbook. </w:t>
      </w:r>
      <w:r w:rsidR="00FB123A" w:rsidRPr="00E248DE">
        <w:rPr>
          <w:rFonts w:ascii="Arial" w:hAnsi="Arial" w:cs="Arial"/>
        </w:rPr>
        <w:t xml:space="preserve">The case will need to be allocated to a trained CPPP practitioner. </w:t>
      </w:r>
    </w:p>
    <w:p w14:paraId="782D0E20" w14:textId="77777777" w:rsidR="00D94ECB" w:rsidRPr="00E248DE" w:rsidRDefault="00EA616C">
      <w:pPr>
        <w:rPr>
          <w:rFonts w:ascii="Arial" w:hAnsi="Arial" w:cs="Arial"/>
        </w:rPr>
      </w:pPr>
      <w:r w:rsidRPr="00E248DE">
        <w:rPr>
          <w:rFonts w:ascii="Arial" w:hAnsi="Arial" w:cs="Arial"/>
          <w:b/>
        </w:rPr>
        <w:t>N</w:t>
      </w:r>
      <w:r w:rsidR="0038639F" w:rsidRPr="00E248DE">
        <w:rPr>
          <w:rFonts w:ascii="Arial" w:hAnsi="Arial" w:cs="Arial"/>
          <w:b/>
        </w:rPr>
        <w:t>o</w:t>
      </w:r>
      <w:r w:rsidR="002A3E4F" w:rsidRPr="00E248DE">
        <w:rPr>
          <w:rFonts w:ascii="Arial" w:hAnsi="Arial" w:cs="Arial"/>
          <w:b/>
        </w:rPr>
        <w:t xml:space="preserve">: </w:t>
      </w:r>
    </w:p>
    <w:p w14:paraId="7383DE27" w14:textId="77777777" w:rsidR="00EA616C" w:rsidRPr="00E248DE" w:rsidRDefault="00EA616C">
      <w:pPr>
        <w:rPr>
          <w:rFonts w:ascii="Arial" w:hAnsi="Arial" w:cs="Arial"/>
        </w:rPr>
      </w:pPr>
      <w:r w:rsidRPr="00E248DE">
        <w:rPr>
          <w:rFonts w:ascii="Arial" w:hAnsi="Arial" w:cs="Arial"/>
        </w:rPr>
        <w:t xml:space="preserve">If no, outline rationale and </w:t>
      </w:r>
      <w:r w:rsidR="00D94ECB" w:rsidRPr="00E248DE">
        <w:rPr>
          <w:rFonts w:ascii="Arial" w:hAnsi="Arial" w:cs="Arial"/>
        </w:rPr>
        <w:t xml:space="preserve">alternative way </w:t>
      </w:r>
      <w:r w:rsidR="00035495" w:rsidRPr="00E248DE">
        <w:rPr>
          <w:rFonts w:ascii="Arial" w:hAnsi="Arial" w:cs="Arial"/>
        </w:rPr>
        <w:t>forward.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687A75" w:rsidRPr="00E248DE" w14:paraId="6BD1DB80" w14:textId="77777777" w:rsidTr="00035495">
        <w:trPr>
          <w:trHeight w:val="1970"/>
        </w:trPr>
        <w:tc>
          <w:tcPr>
            <w:tcW w:w="9016" w:type="dxa"/>
          </w:tcPr>
          <w:p w14:paraId="24EE7A2D" w14:textId="77777777" w:rsidR="00687A75" w:rsidRPr="00E248DE" w:rsidRDefault="000C7F46">
            <w:pPr>
              <w:rPr>
                <w:rFonts w:ascii="Arial" w:hAnsi="Arial" w:cs="Arial"/>
                <w:b/>
              </w:rPr>
            </w:pPr>
            <w:r w:rsidRPr="00E248DE">
              <w:rPr>
                <w:rFonts w:ascii="Arial" w:hAnsi="Arial" w:cs="Arial"/>
                <w:b/>
              </w:rPr>
              <w:t>Rationale and further comments:</w:t>
            </w:r>
          </w:p>
        </w:tc>
      </w:tr>
    </w:tbl>
    <w:p w14:paraId="6CDE9E74" w14:textId="77777777" w:rsidR="00687A75" w:rsidRPr="00E248DE" w:rsidRDefault="00687A75" w:rsidP="00F57A74">
      <w:pPr>
        <w:pStyle w:val="NoSpacing"/>
        <w:rPr>
          <w:rFonts w:ascii="Arial" w:hAnsi="Arial" w:cs="Arial"/>
        </w:rPr>
      </w:pPr>
    </w:p>
    <w:p w14:paraId="3371CA24" w14:textId="77777777" w:rsidR="00035495" w:rsidRDefault="00E56870" w:rsidP="00E55A6D">
      <w:pPr>
        <w:pStyle w:val="NoSpacing"/>
        <w:jc w:val="both"/>
        <w:rPr>
          <w:rFonts w:ascii="Arial" w:hAnsi="Arial" w:cs="Arial"/>
        </w:rPr>
      </w:pPr>
      <w:r w:rsidRPr="00E248DE">
        <w:rPr>
          <w:rFonts w:ascii="Arial" w:hAnsi="Arial" w:cs="Arial"/>
          <w:b/>
          <w:i/>
        </w:rPr>
        <w:t>References:</w:t>
      </w:r>
      <w:r w:rsidR="00E55A6D" w:rsidRPr="00E248DE">
        <w:rPr>
          <w:rFonts w:ascii="Arial" w:hAnsi="Arial" w:cs="Arial"/>
        </w:rPr>
        <w:t xml:space="preserve"> </w:t>
      </w:r>
    </w:p>
    <w:p w14:paraId="2F64A69D" w14:textId="77777777" w:rsidR="00035495" w:rsidRDefault="00035495" w:rsidP="00E55A6D">
      <w:pPr>
        <w:pStyle w:val="NoSpacing"/>
        <w:jc w:val="both"/>
        <w:rPr>
          <w:rFonts w:ascii="Arial" w:hAnsi="Arial" w:cs="Arial"/>
        </w:rPr>
      </w:pPr>
    </w:p>
    <w:p w14:paraId="43589F37" w14:textId="77777777" w:rsidR="00E56870" w:rsidRPr="00E248DE" w:rsidRDefault="00E55A6D" w:rsidP="00E55A6D">
      <w:pPr>
        <w:pStyle w:val="NoSpacing"/>
        <w:jc w:val="both"/>
        <w:rPr>
          <w:rFonts w:ascii="Arial" w:hAnsi="Arial" w:cs="Arial"/>
        </w:rPr>
      </w:pPr>
      <w:r w:rsidRPr="00E248DE">
        <w:rPr>
          <w:rFonts w:ascii="Arial" w:hAnsi="Arial" w:cs="Arial"/>
        </w:rPr>
        <w:t>If you would like to see any of the items listed, send the 5 or 6-digit item numbers (in bold) to library@cafcass.gov.uk (for internal use only)</w:t>
      </w:r>
    </w:p>
    <w:p w14:paraId="39E0D414" w14:textId="77777777" w:rsidR="00E55A6D" w:rsidRPr="00E248DE" w:rsidRDefault="00E55A6D" w:rsidP="00E55A6D">
      <w:pPr>
        <w:pStyle w:val="NoSpacing"/>
        <w:jc w:val="both"/>
        <w:rPr>
          <w:rFonts w:ascii="Arial" w:hAnsi="Arial" w:cs="Arial"/>
          <w:b/>
          <w:i/>
        </w:rPr>
      </w:pPr>
    </w:p>
    <w:p w14:paraId="0134C79B" w14:textId="77777777" w:rsidR="00E56870" w:rsidRPr="00E248DE" w:rsidRDefault="00E56870" w:rsidP="00E55A6D">
      <w:pPr>
        <w:pStyle w:val="NoSpacing"/>
        <w:jc w:val="both"/>
        <w:rPr>
          <w:rStyle w:val="selectable"/>
          <w:rFonts w:ascii="Arial" w:hAnsi="Arial" w:cs="Arial"/>
          <w:i/>
        </w:rPr>
      </w:pPr>
      <w:r w:rsidRPr="00E248DE">
        <w:rPr>
          <w:rStyle w:val="selectable"/>
          <w:rFonts w:ascii="Arial" w:hAnsi="Arial" w:cs="Arial"/>
          <w:b/>
          <w:i/>
        </w:rPr>
        <w:t>161326.</w:t>
      </w:r>
      <w:r w:rsidRPr="00E248DE">
        <w:rPr>
          <w:rStyle w:val="selectable"/>
          <w:rFonts w:ascii="Arial" w:hAnsi="Arial" w:cs="Arial"/>
          <w:i/>
        </w:rPr>
        <w:t xml:space="preserve"> Cantwell, B. (2007). Battling parents: are they getting the right treatment? Family Law, 37(8), 743-748.</w:t>
      </w:r>
    </w:p>
    <w:p w14:paraId="60DA2B98" w14:textId="77777777" w:rsidR="00642E5B" w:rsidRPr="00E248DE" w:rsidRDefault="00642E5B" w:rsidP="00E55A6D">
      <w:pPr>
        <w:pStyle w:val="NoSpacing"/>
        <w:jc w:val="both"/>
        <w:rPr>
          <w:rStyle w:val="selectable"/>
          <w:rFonts w:ascii="Arial" w:hAnsi="Arial" w:cs="Arial"/>
          <w:i/>
        </w:rPr>
      </w:pPr>
    </w:p>
    <w:p w14:paraId="2CC75F75" w14:textId="77777777" w:rsidR="00F57A74" w:rsidRPr="00E248DE" w:rsidRDefault="00E56870">
      <w:pPr>
        <w:pStyle w:val="NoSpacing"/>
        <w:jc w:val="both"/>
        <w:rPr>
          <w:rFonts w:ascii="Arial" w:hAnsi="Arial" w:cs="Arial"/>
        </w:rPr>
      </w:pPr>
      <w:r w:rsidRPr="00E248DE">
        <w:rPr>
          <w:rStyle w:val="selectable"/>
          <w:rFonts w:ascii="Arial" w:hAnsi="Arial" w:cs="Arial"/>
          <w:b/>
          <w:i/>
        </w:rPr>
        <w:t>300737</w:t>
      </w:r>
      <w:r w:rsidRPr="00E248DE">
        <w:rPr>
          <w:rStyle w:val="selectable"/>
          <w:rFonts w:ascii="Arial" w:hAnsi="Arial" w:cs="Arial"/>
          <w:i/>
        </w:rPr>
        <w:t>. Weeks, G., &amp; Treat, S. (2001). Couples in treatment: techniques and approaches for effective practice. (2</w:t>
      </w:r>
      <w:r w:rsidRPr="00E248DE">
        <w:rPr>
          <w:rStyle w:val="selectable"/>
          <w:rFonts w:ascii="Arial" w:hAnsi="Arial" w:cs="Arial"/>
          <w:i/>
          <w:vertAlign w:val="superscript"/>
        </w:rPr>
        <w:t>nd</w:t>
      </w:r>
      <w:r w:rsidRPr="00E248DE">
        <w:rPr>
          <w:rStyle w:val="selectable"/>
          <w:rFonts w:ascii="Arial" w:hAnsi="Arial" w:cs="Arial"/>
          <w:i/>
        </w:rPr>
        <w:t xml:space="preserve"> Ed.). New York, NY: Brunner-Routledge. </w:t>
      </w:r>
    </w:p>
    <w:p w14:paraId="77A5C665" w14:textId="77777777" w:rsidR="00F57A74" w:rsidRPr="00E248DE" w:rsidRDefault="00F57A74" w:rsidP="00F57A74">
      <w:pPr>
        <w:rPr>
          <w:rFonts w:ascii="Arial" w:hAnsi="Arial" w:cs="Arial"/>
        </w:rPr>
      </w:pPr>
    </w:p>
    <w:p w14:paraId="2DB9080E" w14:textId="77777777" w:rsidR="00F57A74" w:rsidRPr="00E248DE" w:rsidRDefault="00F57A74" w:rsidP="00F57A74">
      <w:pPr>
        <w:rPr>
          <w:rFonts w:ascii="Arial" w:hAnsi="Arial" w:cs="Arial"/>
        </w:rPr>
      </w:pPr>
    </w:p>
    <w:p w14:paraId="2E76C233" w14:textId="77777777" w:rsidR="00F57A74" w:rsidRPr="00E248DE" w:rsidRDefault="00691A5E" w:rsidP="00F57A74">
      <w:pPr>
        <w:rPr>
          <w:rFonts w:ascii="Arial" w:hAnsi="Arial" w:cs="Arial"/>
        </w:rPr>
      </w:pPr>
      <w:r w:rsidRPr="00E248DE">
        <w:rPr>
          <w:rFonts w:ascii="Arial" w:eastAsia="Times New Roman" w:hAnsi="Arial" w:cs="Arial"/>
          <w:i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4C9CC01" wp14:editId="2CA42AAA">
                <wp:simplePos x="0" y="0"/>
                <wp:positionH relativeFrom="margin">
                  <wp:posOffset>-34506</wp:posOffset>
                </wp:positionH>
                <wp:positionV relativeFrom="paragraph">
                  <wp:posOffset>65093</wp:posOffset>
                </wp:positionV>
                <wp:extent cx="5631180" cy="698740"/>
                <wp:effectExtent l="0" t="0" r="2667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69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6AB2" w14:textId="77777777" w:rsidR="005A76EC" w:rsidRPr="00691A5E" w:rsidRDefault="008A7374" w:rsidP="00EE5FF4">
                            <w:pPr>
                              <w:pStyle w:val="NormalWeb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691A5E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bidi="ar-SA"/>
                              </w:rPr>
                              <w:t>Important</w:t>
                            </w:r>
                            <w:r w:rsidR="005A76EC" w:rsidRPr="00691A5E">
                              <w:rPr>
                                <w:rFonts w:ascii="Arial" w:eastAsia="Calibri" w:hAnsi="Arial" w:cs="Arial"/>
                                <w:i/>
                                <w:sz w:val="22"/>
                                <w:szCs w:val="22"/>
                                <w:lang w:bidi="ar-SA"/>
                              </w:rPr>
                              <w:t xml:space="preserve">: </w:t>
                            </w:r>
                            <w:r w:rsidR="005A76EC" w:rsidRPr="00691A5E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>This tool has been developed from existing evidence base</w:t>
                            </w:r>
                            <w:r w:rsidRPr="00691A5E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 and research</w:t>
                            </w:r>
                            <w:r w:rsidR="005A76EC" w:rsidRPr="00691A5E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, however is </w:t>
                            </w:r>
                            <w:r w:rsidR="005A76EC" w:rsidRPr="00691A5E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bidi="ar-SA"/>
                              </w:rPr>
                              <w:t xml:space="preserve">not </w:t>
                            </w:r>
                            <w:r w:rsidR="005A76EC" w:rsidRPr="00691A5E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a validated tool. The tool should be used to inform the assessment and analysis and is not a replacement for the professional judgement of the practitioner. </w:t>
                            </w:r>
                            <w:r w:rsidR="005A76EC" w:rsidRPr="00691A5E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44B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pt;margin-top:5.15pt;width:443.4pt;height: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">
                <v:textbox>
                  <w:txbxContent>
                    <w:p w:rsidR="005A76EC" w:rsidRPr="00691A5E" w:rsidRDefault="008A7374" w:rsidP="00EE5FF4">
                      <w:pPr>
                        <w:pStyle w:val="NormalWeb"/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</w:pPr>
                      <w:r w:rsidRPr="00691A5E">
                        <w:rPr>
                          <w:rFonts w:ascii="Arial" w:eastAsia="Calibri" w:hAnsi="Arial" w:cs="Arial"/>
                          <w:b/>
                          <w:bCs/>
                          <w:i/>
                          <w:sz w:val="22"/>
                          <w:szCs w:val="22"/>
                          <w:lang w:bidi="ar-SA"/>
                        </w:rPr>
                        <w:t>Important</w:t>
                      </w:r>
                      <w:r w:rsidR="005A76EC" w:rsidRPr="00691A5E">
                        <w:rPr>
                          <w:rFonts w:ascii="Arial" w:eastAsia="Calibri" w:hAnsi="Arial" w:cs="Arial"/>
                          <w:i/>
                          <w:sz w:val="22"/>
                          <w:szCs w:val="22"/>
                          <w:lang w:bidi="ar-SA"/>
                        </w:rPr>
                        <w:t xml:space="preserve">: </w:t>
                      </w:r>
                      <w:r w:rsidR="005A76EC" w:rsidRPr="00691A5E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>This tool has been developed from existing evidence base</w:t>
                      </w:r>
                      <w:r w:rsidRPr="00691A5E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 and research</w:t>
                      </w:r>
                      <w:r w:rsidR="005A76EC" w:rsidRPr="00691A5E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, however is </w:t>
                      </w:r>
                      <w:r w:rsidR="005A76EC" w:rsidRPr="00691A5E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bidi="ar-SA"/>
                        </w:rPr>
                        <w:t xml:space="preserve">not </w:t>
                      </w:r>
                      <w:r w:rsidR="005A76EC" w:rsidRPr="00691A5E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a validated tool. The tool should be used to inform the assessment and analysis and is not a replacement for the professional judgement of the practitioner. </w:t>
                      </w:r>
                      <w:r w:rsidR="005A76EC" w:rsidRPr="00691A5E"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4F273" w14:textId="77777777" w:rsidR="00F57A74" w:rsidRPr="00E248DE" w:rsidRDefault="00F57A74" w:rsidP="00F57A74">
      <w:pPr>
        <w:rPr>
          <w:rFonts w:ascii="Arial" w:hAnsi="Arial" w:cs="Arial"/>
        </w:rPr>
      </w:pPr>
    </w:p>
    <w:p w14:paraId="61D5EA09" w14:textId="77777777" w:rsidR="00442391" w:rsidRDefault="00442391" w:rsidP="00F57A74">
      <w:pPr>
        <w:rPr>
          <w:rFonts w:ascii="Arial" w:hAnsi="Arial" w:cs="Arial"/>
        </w:rPr>
      </w:pPr>
    </w:p>
    <w:p w14:paraId="66804750" w14:textId="77777777" w:rsidR="00F57A74" w:rsidRDefault="00FC48C1" w:rsidP="00F57A74">
      <w:pPr>
        <w:rPr>
          <w:rFonts w:ascii="Arial" w:hAnsi="Arial" w:cs="Arial"/>
        </w:rPr>
      </w:pPr>
      <w:r>
        <w:rPr>
          <w:rFonts w:ascii="Arial" w:hAnsi="Arial" w:cs="Arial"/>
        </w:rPr>
        <w:t>FLOW CHART</w:t>
      </w:r>
    </w:p>
    <w:p w14:paraId="623CC56A" w14:textId="77777777" w:rsidR="00FC48C1" w:rsidRDefault="008C0DB4" w:rsidP="00F57A74">
      <w:pPr>
        <w:rPr>
          <w:rFonts w:ascii="Arial" w:hAnsi="Arial" w:cs="Arial"/>
        </w:rPr>
      </w:pPr>
      <w:r>
        <w:rPr>
          <w:rFonts w:ascii="Arial" w:hAnsi="Arial" w:cs="Arial"/>
        </w:rPr>
        <w:t>WTFH- Safeguarding Letter (identify harmful conflict as case factor and need for section 7/16.4)</w:t>
      </w:r>
      <w:r w:rsidR="005B1AC1">
        <w:rPr>
          <w:rFonts w:ascii="Arial" w:hAnsi="Arial" w:cs="Arial"/>
        </w:rPr>
        <w:t>. Advice CPPP as intervention.</w:t>
      </w:r>
    </w:p>
    <w:p w14:paraId="506E6F4A" w14:textId="77777777" w:rsidR="005B1AC1" w:rsidRDefault="005B1AC1" w:rsidP="00F57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FHDRA-advice confirmed </w:t>
      </w:r>
      <w:r w:rsidR="00BD0593">
        <w:rPr>
          <w:rFonts w:ascii="Arial" w:hAnsi="Arial" w:cs="Arial"/>
        </w:rPr>
        <w:t>by court FCA following DR</w:t>
      </w:r>
    </w:p>
    <w:p w14:paraId="37B0466C" w14:textId="77777777" w:rsidR="00933078" w:rsidRDefault="00A62B7C" w:rsidP="00F57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Court order for section 7 with CPPP if: </w:t>
      </w:r>
    </w:p>
    <w:p w14:paraId="008A5D3A" w14:textId="77777777" w:rsidR="00BD0593" w:rsidRDefault="000A4D88" w:rsidP="009330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33078">
        <w:rPr>
          <w:rFonts w:ascii="Arial" w:hAnsi="Arial" w:cs="Arial"/>
        </w:rPr>
        <w:t xml:space="preserve">criteria met for section 7 and </w:t>
      </w:r>
      <w:r w:rsidR="007564AD" w:rsidRPr="00933078">
        <w:rPr>
          <w:rFonts w:ascii="Arial" w:hAnsi="Arial" w:cs="Arial"/>
        </w:rPr>
        <w:t xml:space="preserve">harmful conflict is the most significant case factor (follow Suitability </w:t>
      </w:r>
      <w:r w:rsidR="00933078" w:rsidRPr="00933078">
        <w:rPr>
          <w:rFonts w:ascii="Arial" w:hAnsi="Arial" w:cs="Arial"/>
        </w:rPr>
        <w:t>Criteria tool).</w:t>
      </w:r>
    </w:p>
    <w:p w14:paraId="57273231" w14:textId="77777777" w:rsidR="00933078" w:rsidRDefault="00307076" w:rsidP="009330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further assessment is required, but intervention to promote co-parenting and reduce parental conflict </w:t>
      </w:r>
      <w:r w:rsidR="00E92B02">
        <w:rPr>
          <w:rFonts w:ascii="Arial" w:hAnsi="Arial" w:cs="Arial"/>
        </w:rPr>
        <w:t xml:space="preserve">is deemed most appropriate option. </w:t>
      </w:r>
    </w:p>
    <w:p w14:paraId="15BD5D84" w14:textId="77777777" w:rsidR="00E92B02" w:rsidRDefault="00AE00E2" w:rsidP="009330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Parents agree to CPPP</w:t>
      </w:r>
      <w:r w:rsidR="00DA4439">
        <w:rPr>
          <w:rFonts w:ascii="Arial" w:hAnsi="Arial" w:cs="Arial"/>
        </w:rPr>
        <w:t>.</w:t>
      </w:r>
    </w:p>
    <w:p w14:paraId="1CB95C7C" w14:textId="77777777" w:rsidR="00A02BBC" w:rsidRDefault="00A02BBC" w:rsidP="009330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SPIP has been attended or directed. </w:t>
      </w:r>
    </w:p>
    <w:p w14:paraId="0E1DB81F" w14:textId="77777777" w:rsidR="00AE00E2" w:rsidRDefault="00AE00E2" w:rsidP="009330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Court provides 12 weeks for </w:t>
      </w:r>
      <w:r w:rsidR="00DA4439">
        <w:rPr>
          <w:rFonts w:ascii="Arial" w:hAnsi="Arial" w:cs="Arial"/>
        </w:rPr>
        <w:t>filing CPPP report.</w:t>
      </w:r>
    </w:p>
    <w:p w14:paraId="252D4425" w14:textId="77777777" w:rsidR="00DA4439" w:rsidRDefault="00DA4439" w:rsidP="009330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 section </w:t>
      </w:r>
      <w:r w:rsidR="00B55DB8">
        <w:rPr>
          <w:rFonts w:ascii="Arial" w:hAnsi="Arial" w:cs="Arial"/>
        </w:rPr>
        <w:t xml:space="preserve">7 report does not meet the threshold then CPPP cannot be ordered and </w:t>
      </w:r>
      <w:r w:rsidR="00A02BBC">
        <w:rPr>
          <w:rFonts w:ascii="Arial" w:hAnsi="Arial" w:cs="Arial"/>
        </w:rPr>
        <w:t xml:space="preserve">the parties need to be signposted to </w:t>
      </w:r>
      <w:r w:rsidR="002B75DE">
        <w:rPr>
          <w:rFonts w:ascii="Arial" w:hAnsi="Arial" w:cs="Arial"/>
        </w:rPr>
        <w:t xml:space="preserve">mediation and other </w:t>
      </w:r>
      <w:r w:rsidR="00A02BBC">
        <w:rPr>
          <w:rFonts w:ascii="Arial" w:hAnsi="Arial" w:cs="Arial"/>
        </w:rPr>
        <w:t xml:space="preserve">community services. </w:t>
      </w:r>
    </w:p>
    <w:p w14:paraId="549C12D6" w14:textId="77777777" w:rsidR="00E21260" w:rsidRDefault="00E21260" w:rsidP="009330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 section 7 report recommends an addendum is needed following a</w:t>
      </w:r>
      <w:r w:rsidR="0005425D">
        <w:rPr>
          <w:rFonts w:ascii="Arial" w:hAnsi="Arial" w:cs="Arial"/>
        </w:rPr>
        <w:t xml:space="preserve"> robust assessment and CPPP is identified as an intervention option. </w:t>
      </w:r>
    </w:p>
    <w:p w14:paraId="028B7BF4" w14:textId="77777777" w:rsidR="002B75DE" w:rsidRDefault="002B75DE" w:rsidP="002B75DE">
      <w:pPr>
        <w:rPr>
          <w:rFonts w:ascii="Arial" w:hAnsi="Arial" w:cs="Arial"/>
        </w:rPr>
      </w:pPr>
      <w:r>
        <w:rPr>
          <w:rFonts w:ascii="Arial" w:hAnsi="Arial" w:cs="Arial"/>
        </w:rPr>
        <w:t>Court to order rule 16.4 if:</w:t>
      </w:r>
    </w:p>
    <w:p w14:paraId="3C1EFBCF" w14:textId="77777777" w:rsidR="0011389E" w:rsidRDefault="008E6FB0" w:rsidP="002B75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Criteria is met for 16.4 due to the complexity of the case and need to make the child a party to the proceedings</w:t>
      </w:r>
      <w:r w:rsidR="0011389E">
        <w:rPr>
          <w:rFonts w:ascii="Arial" w:hAnsi="Arial" w:cs="Arial"/>
        </w:rPr>
        <w:t xml:space="preserve"> (see Suitability Criteria tool).</w:t>
      </w:r>
    </w:p>
    <w:p w14:paraId="0BAF0893" w14:textId="77777777" w:rsidR="002B75DE" w:rsidRDefault="008E6FB0" w:rsidP="002B75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3895">
        <w:rPr>
          <w:rFonts w:ascii="Arial" w:hAnsi="Arial" w:cs="Arial"/>
        </w:rPr>
        <w:t>Parents agree to CPPP</w:t>
      </w:r>
    </w:p>
    <w:p w14:paraId="54E8A7BF" w14:textId="77777777" w:rsidR="00FD3895" w:rsidRDefault="00FD3895" w:rsidP="002B75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E15C4">
        <w:rPr>
          <w:rFonts w:ascii="Arial" w:hAnsi="Arial" w:cs="Arial"/>
        </w:rPr>
        <w:t>PIP</w:t>
      </w:r>
      <w:r>
        <w:rPr>
          <w:rFonts w:ascii="Arial" w:hAnsi="Arial" w:cs="Arial"/>
        </w:rPr>
        <w:t xml:space="preserve"> has been attended or directed.</w:t>
      </w:r>
    </w:p>
    <w:p w14:paraId="7C783B00" w14:textId="77777777" w:rsidR="00FD3895" w:rsidRPr="002B75DE" w:rsidRDefault="008E15C4" w:rsidP="002B75D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Court provides 12 weeks for filing a CPPP report. </w:t>
      </w:r>
    </w:p>
    <w:p w14:paraId="2B7C6F6E" w14:textId="77777777" w:rsidR="0038661F" w:rsidRPr="00E248DE" w:rsidRDefault="00F57A74" w:rsidP="00F57A74">
      <w:pPr>
        <w:tabs>
          <w:tab w:val="left" w:pos="7852"/>
        </w:tabs>
        <w:rPr>
          <w:rFonts w:ascii="Arial" w:hAnsi="Arial" w:cs="Arial"/>
        </w:rPr>
      </w:pPr>
      <w:r w:rsidRPr="00E248DE">
        <w:rPr>
          <w:rFonts w:ascii="Arial" w:hAnsi="Arial" w:cs="Arial"/>
        </w:rPr>
        <w:tab/>
      </w:r>
    </w:p>
    <w:sectPr w:rsidR="0038661F" w:rsidRPr="00E248D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A01B" w14:textId="77777777" w:rsidR="00871AF1" w:rsidRDefault="00871AF1" w:rsidP="002257F6">
      <w:pPr>
        <w:spacing w:after="0" w:line="240" w:lineRule="auto"/>
      </w:pPr>
      <w:r>
        <w:separator/>
      </w:r>
    </w:p>
  </w:endnote>
  <w:endnote w:type="continuationSeparator" w:id="0">
    <w:p w14:paraId="6B4E526C" w14:textId="77777777" w:rsidR="00871AF1" w:rsidRDefault="00871AF1" w:rsidP="002257F6">
      <w:pPr>
        <w:spacing w:after="0" w:line="240" w:lineRule="auto"/>
      </w:pPr>
      <w:r>
        <w:continuationSeparator/>
      </w:r>
    </w:p>
  </w:endnote>
  <w:endnote w:type="continuationNotice" w:id="1">
    <w:p w14:paraId="09753E20" w14:textId="77777777" w:rsidR="00871AF1" w:rsidRDefault="00871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895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4AFCC" w14:textId="77777777" w:rsidR="002257F6" w:rsidRDefault="002257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8E5EB" w14:textId="77777777" w:rsidR="002257F6" w:rsidRPr="00F57A74" w:rsidRDefault="008A5960">
    <w:pPr>
      <w:pStyle w:val="Footer"/>
      <w:rPr>
        <w:rFonts w:ascii="Arial" w:hAnsi="Arial"/>
        <w:color w:val="ED7D31" w:themeColor="accent2"/>
      </w:rPr>
    </w:pPr>
    <w:r w:rsidRPr="008A5960">
      <w:rPr>
        <w:rFonts w:ascii="Arial" w:hAnsi="Arial" w:cs="Arial"/>
        <w:color w:val="ED7D31" w:themeColor="accent2"/>
      </w:rPr>
      <w:t>ECMS number: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2EA9A" w14:textId="77777777" w:rsidR="00871AF1" w:rsidRDefault="00871AF1" w:rsidP="002257F6">
      <w:pPr>
        <w:spacing w:after="0" w:line="240" w:lineRule="auto"/>
      </w:pPr>
      <w:r>
        <w:separator/>
      </w:r>
    </w:p>
  </w:footnote>
  <w:footnote w:type="continuationSeparator" w:id="0">
    <w:p w14:paraId="196A9F5F" w14:textId="77777777" w:rsidR="00871AF1" w:rsidRDefault="00871AF1" w:rsidP="002257F6">
      <w:pPr>
        <w:spacing w:after="0" w:line="240" w:lineRule="auto"/>
      </w:pPr>
      <w:r>
        <w:continuationSeparator/>
      </w:r>
    </w:p>
  </w:footnote>
  <w:footnote w:type="continuationNotice" w:id="1">
    <w:p w14:paraId="406CE722" w14:textId="77777777" w:rsidR="00871AF1" w:rsidRDefault="00871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07A8" w14:textId="77777777" w:rsidR="00F03DC6" w:rsidRPr="004A2F7D" w:rsidRDefault="004A2F7D" w:rsidP="00F03DC6">
    <w:pPr>
      <w:pStyle w:val="NoSpacing"/>
      <w:rPr>
        <w:rFonts w:ascii="Arial" w:hAnsi="Arial" w:cs="Arial"/>
        <w:b/>
        <w:color w:val="ED7D31" w:themeColor="accent2"/>
      </w:rPr>
    </w:pPr>
    <w:r w:rsidRPr="004A2F7D">
      <w:rPr>
        <w:rFonts w:ascii="Arial" w:hAnsi="Arial" w:cs="Arial"/>
        <w:b/>
        <w:color w:val="ED7D31" w:themeColor="accent2"/>
      </w:rPr>
      <w:t>Suitability C</w:t>
    </w:r>
    <w:r w:rsidR="00200D8C" w:rsidRPr="004A2F7D">
      <w:rPr>
        <w:rFonts w:ascii="Arial" w:hAnsi="Arial" w:cs="Arial"/>
        <w:b/>
        <w:color w:val="ED7D31" w:themeColor="accent2"/>
      </w:rPr>
      <w:t>riteria</w:t>
    </w:r>
    <w:r w:rsidR="00F03DC6" w:rsidRPr="004A2F7D">
      <w:rPr>
        <w:rFonts w:ascii="Arial" w:hAnsi="Arial" w:cs="Arial"/>
        <w:b/>
        <w:color w:val="ED7D31" w:themeColor="accent2"/>
      </w:rPr>
      <w:t xml:space="preserve"> </w:t>
    </w:r>
    <w:r w:rsidRPr="004A2F7D">
      <w:rPr>
        <w:rFonts w:ascii="Arial" w:hAnsi="Arial" w:cs="Arial"/>
        <w:b/>
        <w:color w:val="ED7D31" w:themeColor="accent2"/>
      </w:rPr>
      <w:t>T</w:t>
    </w:r>
    <w:r w:rsidR="00F03DC6" w:rsidRPr="004A2F7D">
      <w:rPr>
        <w:rFonts w:ascii="Arial" w:hAnsi="Arial" w:cs="Arial"/>
        <w:b/>
        <w:color w:val="ED7D31" w:themeColor="accent2"/>
      </w:rPr>
      <w:t>ool</w:t>
    </w:r>
    <w:r w:rsidR="00200D8C" w:rsidRPr="004A2F7D">
      <w:rPr>
        <w:rFonts w:ascii="Arial" w:hAnsi="Arial" w:cs="Arial"/>
        <w:b/>
        <w:color w:val="ED7D31" w:themeColor="accent2"/>
      </w:rPr>
      <w:t>:</w:t>
    </w:r>
    <w:r w:rsidR="00F03DC6" w:rsidRPr="004A2F7D">
      <w:rPr>
        <w:rFonts w:ascii="Arial" w:hAnsi="Arial" w:cs="Arial"/>
        <w:b/>
        <w:color w:val="ED7D31" w:themeColor="accent2"/>
      </w:rPr>
      <w:t xml:space="preserve"> </w:t>
    </w:r>
  </w:p>
  <w:p w14:paraId="589192EB" w14:textId="77777777" w:rsidR="00200D8C" w:rsidRPr="004A2F7D" w:rsidRDefault="00200D8C" w:rsidP="00F03DC6">
    <w:pPr>
      <w:pStyle w:val="NoSpacing"/>
      <w:rPr>
        <w:rFonts w:ascii="Arial" w:hAnsi="Arial" w:cs="Arial"/>
        <w:b/>
        <w:color w:val="ED7D31" w:themeColor="accent2"/>
      </w:rPr>
    </w:pPr>
    <w:r w:rsidRPr="004A2F7D">
      <w:rPr>
        <w:rFonts w:ascii="Arial" w:hAnsi="Arial" w:cs="Arial"/>
        <w:b/>
        <w:color w:val="ED7D31" w:themeColor="accent2"/>
      </w:rPr>
      <w:t>Cafcass Positive</w:t>
    </w:r>
    <w:r w:rsidR="003A014E">
      <w:rPr>
        <w:rFonts w:ascii="Arial" w:hAnsi="Arial" w:cs="Arial"/>
        <w:b/>
        <w:color w:val="ED7D31" w:themeColor="accent2"/>
      </w:rPr>
      <w:t xml:space="preserve"> </w:t>
    </w:r>
    <w:r w:rsidR="00A143B2">
      <w:rPr>
        <w:rFonts w:ascii="Arial" w:hAnsi="Arial" w:cs="Arial"/>
        <w:b/>
        <w:color w:val="ED7D31" w:themeColor="accent2"/>
      </w:rPr>
      <w:t>Co-Parenting</w:t>
    </w:r>
    <w:r w:rsidR="003A014E">
      <w:rPr>
        <w:rFonts w:ascii="Arial" w:hAnsi="Arial" w:cs="Arial"/>
        <w:b/>
        <w:color w:val="ED7D31" w:themeColor="accent2"/>
      </w:rPr>
      <w:t xml:space="preserve"> Programme (CPPP)</w:t>
    </w:r>
  </w:p>
  <w:p w14:paraId="63BE27DF" w14:textId="77777777" w:rsidR="002E21BE" w:rsidRPr="00F57A74" w:rsidRDefault="002E2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098"/>
    <w:multiLevelType w:val="hybridMultilevel"/>
    <w:tmpl w:val="CDAE2656"/>
    <w:lvl w:ilvl="0" w:tplc="18643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05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E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26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09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E9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62B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A7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CB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0C3"/>
    <w:multiLevelType w:val="hybridMultilevel"/>
    <w:tmpl w:val="B98E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4AE3"/>
    <w:multiLevelType w:val="hybridMultilevel"/>
    <w:tmpl w:val="CD62B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B56B4"/>
    <w:multiLevelType w:val="hybridMultilevel"/>
    <w:tmpl w:val="1D965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83ED8"/>
    <w:multiLevelType w:val="hybridMultilevel"/>
    <w:tmpl w:val="48FA0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F0CAB"/>
    <w:multiLevelType w:val="hybridMultilevel"/>
    <w:tmpl w:val="5FA4B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A7457"/>
    <w:multiLevelType w:val="hybridMultilevel"/>
    <w:tmpl w:val="BEC29812"/>
    <w:lvl w:ilvl="0" w:tplc="4C3CE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0F451D"/>
    <w:multiLevelType w:val="hybridMultilevel"/>
    <w:tmpl w:val="3C8C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75"/>
    <w:rsid w:val="00025F69"/>
    <w:rsid w:val="000268ED"/>
    <w:rsid w:val="00035495"/>
    <w:rsid w:val="000376F5"/>
    <w:rsid w:val="00047423"/>
    <w:rsid w:val="0005425D"/>
    <w:rsid w:val="00055CBD"/>
    <w:rsid w:val="00064C35"/>
    <w:rsid w:val="00066430"/>
    <w:rsid w:val="00087E06"/>
    <w:rsid w:val="00091DE4"/>
    <w:rsid w:val="000A121E"/>
    <w:rsid w:val="000A4D88"/>
    <w:rsid w:val="000B491D"/>
    <w:rsid w:val="000B51A9"/>
    <w:rsid w:val="000C14DA"/>
    <w:rsid w:val="000C7F46"/>
    <w:rsid w:val="000D2D6C"/>
    <w:rsid w:val="000E0602"/>
    <w:rsid w:val="000E3DD5"/>
    <w:rsid w:val="000F0CB4"/>
    <w:rsid w:val="000F21EB"/>
    <w:rsid w:val="00101487"/>
    <w:rsid w:val="00102F48"/>
    <w:rsid w:val="001102F5"/>
    <w:rsid w:val="0011389E"/>
    <w:rsid w:val="0011789A"/>
    <w:rsid w:val="0013313F"/>
    <w:rsid w:val="00133A53"/>
    <w:rsid w:val="00147C9E"/>
    <w:rsid w:val="001501E5"/>
    <w:rsid w:val="00156AEE"/>
    <w:rsid w:val="001602A4"/>
    <w:rsid w:val="00167052"/>
    <w:rsid w:val="001752D4"/>
    <w:rsid w:val="0017583D"/>
    <w:rsid w:val="00190D74"/>
    <w:rsid w:val="00192A32"/>
    <w:rsid w:val="001942FE"/>
    <w:rsid w:val="001B005C"/>
    <w:rsid w:val="001D11EB"/>
    <w:rsid w:val="00200C76"/>
    <w:rsid w:val="00200D8C"/>
    <w:rsid w:val="00213C75"/>
    <w:rsid w:val="00214B65"/>
    <w:rsid w:val="00216906"/>
    <w:rsid w:val="002243F2"/>
    <w:rsid w:val="002257F6"/>
    <w:rsid w:val="0022634E"/>
    <w:rsid w:val="002465DF"/>
    <w:rsid w:val="00246E62"/>
    <w:rsid w:val="00250A92"/>
    <w:rsid w:val="0025743A"/>
    <w:rsid w:val="0026549F"/>
    <w:rsid w:val="00266207"/>
    <w:rsid w:val="00281D81"/>
    <w:rsid w:val="00285BF6"/>
    <w:rsid w:val="00291326"/>
    <w:rsid w:val="002A1B14"/>
    <w:rsid w:val="002A3E4F"/>
    <w:rsid w:val="002B75DE"/>
    <w:rsid w:val="002C3FD6"/>
    <w:rsid w:val="002C744F"/>
    <w:rsid w:val="002C7775"/>
    <w:rsid w:val="002D04EC"/>
    <w:rsid w:val="002D0658"/>
    <w:rsid w:val="002D25F9"/>
    <w:rsid w:val="002D6AB2"/>
    <w:rsid w:val="002D701A"/>
    <w:rsid w:val="002E21BE"/>
    <w:rsid w:val="002F2593"/>
    <w:rsid w:val="002F3CCB"/>
    <w:rsid w:val="002F4526"/>
    <w:rsid w:val="002F6166"/>
    <w:rsid w:val="00307076"/>
    <w:rsid w:val="00315119"/>
    <w:rsid w:val="003162A9"/>
    <w:rsid w:val="00316E16"/>
    <w:rsid w:val="003433DD"/>
    <w:rsid w:val="00344DB5"/>
    <w:rsid w:val="00347EC6"/>
    <w:rsid w:val="003663BB"/>
    <w:rsid w:val="00373858"/>
    <w:rsid w:val="00380ED7"/>
    <w:rsid w:val="003840C8"/>
    <w:rsid w:val="0038639F"/>
    <w:rsid w:val="0038661F"/>
    <w:rsid w:val="003947AB"/>
    <w:rsid w:val="00395CA4"/>
    <w:rsid w:val="0039741D"/>
    <w:rsid w:val="003A014E"/>
    <w:rsid w:val="003A022E"/>
    <w:rsid w:val="003A3835"/>
    <w:rsid w:val="003A7E4D"/>
    <w:rsid w:val="003C0698"/>
    <w:rsid w:val="003C0B24"/>
    <w:rsid w:val="003C619B"/>
    <w:rsid w:val="003D18C8"/>
    <w:rsid w:val="003D5D86"/>
    <w:rsid w:val="003E12FE"/>
    <w:rsid w:val="00401838"/>
    <w:rsid w:val="00421931"/>
    <w:rsid w:val="00435813"/>
    <w:rsid w:val="0044062A"/>
    <w:rsid w:val="00442391"/>
    <w:rsid w:val="00455666"/>
    <w:rsid w:val="00463832"/>
    <w:rsid w:val="0047370C"/>
    <w:rsid w:val="00477D5E"/>
    <w:rsid w:val="00482600"/>
    <w:rsid w:val="00497A68"/>
    <w:rsid w:val="004A04E5"/>
    <w:rsid w:val="004A2F7D"/>
    <w:rsid w:val="004A6662"/>
    <w:rsid w:val="004B4E8D"/>
    <w:rsid w:val="004D42FA"/>
    <w:rsid w:val="004D559E"/>
    <w:rsid w:val="004D55A8"/>
    <w:rsid w:val="004E33E9"/>
    <w:rsid w:val="004F62CF"/>
    <w:rsid w:val="005121E9"/>
    <w:rsid w:val="00514DEE"/>
    <w:rsid w:val="00522645"/>
    <w:rsid w:val="005253B5"/>
    <w:rsid w:val="0052719F"/>
    <w:rsid w:val="00537561"/>
    <w:rsid w:val="005549D2"/>
    <w:rsid w:val="00561310"/>
    <w:rsid w:val="005630F1"/>
    <w:rsid w:val="005632D6"/>
    <w:rsid w:val="00564A77"/>
    <w:rsid w:val="0057414C"/>
    <w:rsid w:val="00575F70"/>
    <w:rsid w:val="005979D8"/>
    <w:rsid w:val="005A76EC"/>
    <w:rsid w:val="005B1AC1"/>
    <w:rsid w:val="005B41A2"/>
    <w:rsid w:val="005B5348"/>
    <w:rsid w:val="005D3F22"/>
    <w:rsid w:val="005E17B6"/>
    <w:rsid w:val="005E60BF"/>
    <w:rsid w:val="005F4CFA"/>
    <w:rsid w:val="00606852"/>
    <w:rsid w:val="0061283D"/>
    <w:rsid w:val="0062114A"/>
    <w:rsid w:val="006355B6"/>
    <w:rsid w:val="006367FB"/>
    <w:rsid w:val="00642E5B"/>
    <w:rsid w:val="00645EE0"/>
    <w:rsid w:val="006544C6"/>
    <w:rsid w:val="0065751A"/>
    <w:rsid w:val="0066075A"/>
    <w:rsid w:val="00684A80"/>
    <w:rsid w:val="00687A75"/>
    <w:rsid w:val="00691A5E"/>
    <w:rsid w:val="00694826"/>
    <w:rsid w:val="006A5EEF"/>
    <w:rsid w:val="006A6333"/>
    <w:rsid w:val="006C0E78"/>
    <w:rsid w:val="006D18DC"/>
    <w:rsid w:val="006D55D1"/>
    <w:rsid w:val="006D6BEF"/>
    <w:rsid w:val="006D7996"/>
    <w:rsid w:val="006E1D03"/>
    <w:rsid w:val="006E357C"/>
    <w:rsid w:val="006E3740"/>
    <w:rsid w:val="006E63C1"/>
    <w:rsid w:val="00701A0D"/>
    <w:rsid w:val="00710264"/>
    <w:rsid w:val="00732F26"/>
    <w:rsid w:val="007343B6"/>
    <w:rsid w:val="00734EBA"/>
    <w:rsid w:val="007405B4"/>
    <w:rsid w:val="00741525"/>
    <w:rsid w:val="007418B6"/>
    <w:rsid w:val="007564AD"/>
    <w:rsid w:val="007675A6"/>
    <w:rsid w:val="00786963"/>
    <w:rsid w:val="007A0128"/>
    <w:rsid w:val="007A0931"/>
    <w:rsid w:val="007A3965"/>
    <w:rsid w:val="007A66F0"/>
    <w:rsid w:val="007B35D7"/>
    <w:rsid w:val="007C387C"/>
    <w:rsid w:val="007D4126"/>
    <w:rsid w:val="00802900"/>
    <w:rsid w:val="00804CF8"/>
    <w:rsid w:val="00810F17"/>
    <w:rsid w:val="008111AD"/>
    <w:rsid w:val="00815F17"/>
    <w:rsid w:val="00816FE5"/>
    <w:rsid w:val="00820227"/>
    <w:rsid w:val="008424F7"/>
    <w:rsid w:val="00845A97"/>
    <w:rsid w:val="008516C7"/>
    <w:rsid w:val="008556BD"/>
    <w:rsid w:val="00863F60"/>
    <w:rsid w:val="008677D7"/>
    <w:rsid w:val="00871AF1"/>
    <w:rsid w:val="008903AB"/>
    <w:rsid w:val="00892A3F"/>
    <w:rsid w:val="00895055"/>
    <w:rsid w:val="008A04EC"/>
    <w:rsid w:val="008A17AC"/>
    <w:rsid w:val="008A5960"/>
    <w:rsid w:val="008A7374"/>
    <w:rsid w:val="008C0DB4"/>
    <w:rsid w:val="008C2845"/>
    <w:rsid w:val="008C5513"/>
    <w:rsid w:val="008E15C4"/>
    <w:rsid w:val="008E6FB0"/>
    <w:rsid w:val="00917C49"/>
    <w:rsid w:val="00930CFD"/>
    <w:rsid w:val="00933078"/>
    <w:rsid w:val="0094173D"/>
    <w:rsid w:val="00945A1F"/>
    <w:rsid w:val="009563C8"/>
    <w:rsid w:val="00966B77"/>
    <w:rsid w:val="00980850"/>
    <w:rsid w:val="00991912"/>
    <w:rsid w:val="009920C2"/>
    <w:rsid w:val="009952FE"/>
    <w:rsid w:val="0099643A"/>
    <w:rsid w:val="009B1409"/>
    <w:rsid w:val="009C0527"/>
    <w:rsid w:val="009D1BE8"/>
    <w:rsid w:val="009D4143"/>
    <w:rsid w:val="009D4980"/>
    <w:rsid w:val="009F5C85"/>
    <w:rsid w:val="00A00D85"/>
    <w:rsid w:val="00A02BBC"/>
    <w:rsid w:val="00A06AFA"/>
    <w:rsid w:val="00A12C10"/>
    <w:rsid w:val="00A143B2"/>
    <w:rsid w:val="00A15621"/>
    <w:rsid w:val="00A15FE3"/>
    <w:rsid w:val="00A202E3"/>
    <w:rsid w:val="00A43DF6"/>
    <w:rsid w:val="00A546B5"/>
    <w:rsid w:val="00A62B7C"/>
    <w:rsid w:val="00A64F0F"/>
    <w:rsid w:val="00A72838"/>
    <w:rsid w:val="00A83E42"/>
    <w:rsid w:val="00A844EF"/>
    <w:rsid w:val="00A869F0"/>
    <w:rsid w:val="00A9148E"/>
    <w:rsid w:val="00A956C9"/>
    <w:rsid w:val="00AA2AD6"/>
    <w:rsid w:val="00AA5F5A"/>
    <w:rsid w:val="00AB7DE1"/>
    <w:rsid w:val="00AC0E5F"/>
    <w:rsid w:val="00AC5242"/>
    <w:rsid w:val="00AC6A60"/>
    <w:rsid w:val="00AD1FB4"/>
    <w:rsid w:val="00AD4CA9"/>
    <w:rsid w:val="00AE00E2"/>
    <w:rsid w:val="00AE5A76"/>
    <w:rsid w:val="00AE7CE6"/>
    <w:rsid w:val="00AF0ADA"/>
    <w:rsid w:val="00B0538B"/>
    <w:rsid w:val="00B1719D"/>
    <w:rsid w:val="00B22EA0"/>
    <w:rsid w:val="00B25383"/>
    <w:rsid w:val="00B4368A"/>
    <w:rsid w:val="00B46A6A"/>
    <w:rsid w:val="00B516A7"/>
    <w:rsid w:val="00B55DB8"/>
    <w:rsid w:val="00B5737D"/>
    <w:rsid w:val="00B64F61"/>
    <w:rsid w:val="00B74AAB"/>
    <w:rsid w:val="00B805D6"/>
    <w:rsid w:val="00BA154A"/>
    <w:rsid w:val="00BB4FCF"/>
    <w:rsid w:val="00BD0593"/>
    <w:rsid w:val="00BE0F7A"/>
    <w:rsid w:val="00BF37E5"/>
    <w:rsid w:val="00C12824"/>
    <w:rsid w:val="00C17EC1"/>
    <w:rsid w:val="00C25053"/>
    <w:rsid w:val="00C27270"/>
    <w:rsid w:val="00C3295F"/>
    <w:rsid w:val="00C349FC"/>
    <w:rsid w:val="00C425AB"/>
    <w:rsid w:val="00C634E3"/>
    <w:rsid w:val="00C774A9"/>
    <w:rsid w:val="00C839FD"/>
    <w:rsid w:val="00C95CB1"/>
    <w:rsid w:val="00CB2847"/>
    <w:rsid w:val="00CB39EF"/>
    <w:rsid w:val="00CB7001"/>
    <w:rsid w:val="00CE1728"/>
    <w:rsid w:val="00CF0DE6"/>
    <w:rsid w:val="00CF7260"/>
    <w:rsid w:val="00D1351D"/>
    <w:rsid w:val="00D24A09"/>
    <w:rsid w:val="00D3240F"/>
    <w:rsid w:val="00D3342F"/>
    <w:rsid w:val="00D36532"/>
    <w:rsid w:val="00D60BC9"/>
    <w:rsid w:val="00D66DB4"/>
    <w:rsid w:val="00D76F36"/>
    <w:rsid w:val="00D77B75"/>
    <w:rsid w:val="00D81231"/>
    <w:rsid w:val="00D833C6"/>
    <w:rsid w:val="00D85AA8"/>
    <w:rsid w:val="00D94ECB"/>
    <w:rsid w:val="00DA4439"/>
    <w:rsid w:val="00DA78F8"/>
    <w:rsid w:val="00DC45CF"/>
    <w:rsid w:val="00DD1D81"/>
    <w:rsid w:val="00DD5A9B"/>
    <w:rsid w:val="00DE7FE2"/>
    <w:rsid w:val="00DF56D0"/>
    <w:rsid w:val="00E00941"/>
    <w:rsid w:val="00E15D1D"/>
    <w:rsid w:val="00E17DE1"/>
    <w:rsid w:val="00E2075A"/>
    <w:rsid w:val="00E21260"/>
    <w:rsid w:val="00E248DE"/>
    <w:rsid w:val="00E506F0"/>
    <w:rsid w:val="00E55A6D"/>
    <w:rsid w:val="00E56870"/>
    <w:rsid w:val="00E80E57"/>
    <w:rsid w:val="00E90FFB"/>
    <w:rsid w:val="00E92B02"/>
    <w:rsid w:val="00E944BF"/>
    <w:rsid w:val="00E94B61"/>
    <w:rsid w:val="00EA5A55"/>
    <w:rsid w:val="00EA616C"/>
    <w:rsid w:val="00EA621E"/>
    <w:rsid w:val="00EA6995"/>
    <w:rsid w:val="00EC0C5F"/>
    <w:rsid w:val="00ED42D8"/>
    <w:rsid w:val="00ED4AA6"/>
    <w:rsid w:val="00ED53AE"/>
    <w:rsid w:val="00EE5FF4"/>
    <w:rsid w:val="00EF0710"/>
    <w:rsid w:val="00EF4F52"/>
    <w:rsid w:val="00F03DC6"/>
    <w:rsid w:val="00F32643"/>
    <w:rsid w:val="00F347F5"/>
    <w:rsid w:val="00F42660"/>
    <w:rsid w:val="00F527CA"/>
    <w:rsid w:val="00F57A74"/>
    <w:rsid w:val="00F86801"/>
    <w:rsid w:val="00F91AB1"/>
    <w:rsid w:val="00FB123A"/>
    <w:rsid w:val="00FB7505"/>
    <w:rsid w:val="00FB7AD0"/>
    <w:rsid w:val="00FC48C1"/>
    <w:rsid w:val="00FC6F80"/>
    <w:rsid w:val="00FD0C44"/>
    <w:rsid w:val="00FD3895"/>
    <w:rsid w:val="00FE027D"/>
    <w:rsid w:val="0472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5AE4"/>
  <w15:chartTrackingRefBased/>
  <w15:docId w15:val="{06703DF2-6A2A-4438-B6AB-EF197830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61F"/>
    <w:pPr>
      <w:ind w:left="720"/>
      <w:contextualSpacing/>
    </w:pPr>
  </w:style>
  <w:style w:type="paragraph" w:styleId="List2">
    <w:name w:val="List 2"/>
    <w:basedOn w:val="Normal"/>
    <w:semiHidden/>
    <w:unhideWhenUsed/>
    <w:rsid w:val="0029132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6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6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F6"/>
  </w:style>
  <w:style w:type="paragraph" w:styleId="Footer">
    <w:name w:val="footer"/>
    <w:basedOn w:val="Normal"/>
    <w:link w:val="FooterChar"/>
    <w:uiPriority w:val="99"/>
    <w:unhideWhenUsed/>
    <w:rsid w:val="00225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F6"/>
  </w:style>
  <w:style w:type="paragraph" w:styleId="NormalWeb">
    <w:name w:val="Normal (Web)"/>
    <w:basedOn w:val="Normal"/>
    <w:uiPriority w:val="99"/>
    <w:unhideWhenUsed/>
    <w:rsid w:val="002263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5A7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E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E21BE"/>
    <w:pPr>
      <w:spacing w:after="0" w:line="240" w:lineRule="auto"/>
    </w:pPr>
  </w:style>
  <w:style w:type="character" w:customStyle="1" w:styleId="selectable">
    <w:name w:val="selectable"/>
    <w:basedOn w:val="DefaultParagraphFont"/>
    <w:rsid w:val="002E21BE"/>
  </w:style>
  <w:style w:type="paragraph" w:styleId="Revision">
    <w:name w:val="Revision"/>
    <w:hidden/>
    <w:uiPriority w:val="99"/>
    <w:semiHidden/>
    <w:rsid w:val="006A633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0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ranet.cafcass.net/departments/Documents/Policy/Private%20law/Cafcass%20Positive%20Parenting%20Programme/List%20of%20Manager%20leads%20on%20CPPP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SSupport@cafcass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cafcass.net/departments/nis/Pages/LearningandDevelopment/CPPP-material-for-practitioner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fcass.gov.uk/download/10191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afcass.gov.uk/download/10520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tranet.cafcass.net/departments/Documents/NIS/Consultations/CPPP/DRAFT%20Cafcass%20section%207%20threshold%20v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BBBCDF17A574D83703F56B59954A4" ma:contentTypeVersion="11" ma:contentTypeDescription="Create a new document." ma:contentTypeScope="" ma:versionID="4217e9f293b7500bdaa5ad2324c9163c">
  <xsd:schema xmlns:xsd="http://www.w3.org/2001/XMLSchema" xmlns:xs="http://www.w3.org/2001/XMLSchema" xmlns:p="http://schemas.microsoft.com/office/2006/metadata/properties" xmlns:ns3="80208414-3426-428e-8562-f713212bb3c7" xmlns:ns4="2ff1482a-20f8-42e1-80c5-55b832b96200" targetNamespace="http://schemas.microsoft.com/office/2006/metadata/properties" ma:root="true" ma:fieldsID="a3b44e9e2ebfa1c07d5de955145a4e4f" ns3:_="" ns4:_="">
    <xsd:import namespace="80208414-3426-428e-8562-f713212bb3c7"/>
    <xsd:import namespace="2ff1482a-20f8-42e1-80c5-55b832b96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8414-3426-428e-8562-f713212bb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482a-20f8-42e1-80c5-55b832b96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C5D75-A8E5-41C2-B781-1F1F735AD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6110-30A1-47E8-89F7-93C2CC0D3325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2ff1482a-20f8-42e1-80c5-55b832b96200"/>
    <ds:schemaRef ds:uri="http://schemas.openxmlformats.org/package/2006/metadata/core-properties"/>
    <ds:schemaRef ds:uri="80208414-3426-428e-8562-f713212bb3c7"/>
  </ds:schemaRefs>
</ds:datastoreItem>
</file>

<file path=customXml/itemProps3.xml><?xml version="1.0" encoding="utf-8"?>
<ds:datastoreItem xmlns:ds="http://schemas.openxmlformats.org/officeDocument/2006/customXml" ds:itemID="{C70AF5E6-2473-4919-8DB3-74789E2C0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08414-3426-428e-8562-f713212bb3c7"/>
    <ds:schemaRef ds:uri="2ff1482a-20f8-42e1-80c5-55b832b96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Cooklin</dc:creator>
  <cp:keywords/>
  <dc:description/>
  <cp:lastModifiedBy>John McGagh</cp:lastModifiedBy>
  <cp:revision>2</cp:revision>
  <dcterms:created xsi:type="dcterms:W3CDTF">2019-12-19T11:11:00Z</dcterms:created>
  <dcterms:modified xsi:type="dcterms:W3CDTF">2019-12-19T11:11:00Z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0x010100AA8BBBCDF17A574D83703F56B59954A4</vt:lpwstr>
  </property>
</Properties>
</file>