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2F0A5" w14:textId="2F9790ED" w:rsidR="005A7268" w:rsidRPr="004C29B4" w:rsidRDefault="005A7268" w:rsidP="005A7268">
      <w:pPr>
        <w:jc w:val="center"/>
        <w:rPr>
          <w:b/>
          <w:bCs/>
          <w:sz w:val="28"/>
          <w:szCs w:val="28"/>
        </w:rPr>
      </w:pPr>
      <w:r w:rsidRPr="004C29B4">
        <w:rPr>
          <w:b/>
          <w:bCs/>
          <w:sz w:val="28"/>
          <w:szCs w:val="28"/>
        </w:rPr>
        <w:t xml:space="preserve">Emotional Readiness Assessment </w:t>
      </w:r>
      <w:r w:rsidR="003E1877">
        <w:rPr>
          <w:b/>
          <w:bCs/>
          <w:sz w:val="28"/>
          <w:szCs w:val="28"/>
        </w:rPr>
        <w:t>Practice Aid</w:t>
      </w:r>
    </w:p>
    <w:p w14:paraId="7AA55390" w14:textId="77777777" w:rsidR="004C29B4" w:rsidRDefault="004C29B4" w:rsidP="004C29B4">
      <w:pPr>
        <w:rPr>
          <w:b/>
          <w:bCs/>
        </w:rPr>
      </w:pPr>
    </w:p>
    <w:p w14:paraId="262C1185" w14:textId="319D4D25" w:rsidR="002E5A09" w:rsidRDefault="004C29B4" w:rsidP="004C29B4">
      <w:pPr>
        <w:rPr>
          <w:b/>
          <w:bCs/>
        </w:rPr>
      </w:pPr>
      <w:r>
        <w:rPr>
          <w:b/>
          <w:bCs/>
        </w:rPr>
        <w:t>Background</w:t>
      </w:r>
    </w:p>
    <w:p w14:paraId="54F9A566" w14:textId="1626936F" w:rsidR="00574927" w:rsidRDefault="002E5A09" w:rsidP="002E5A09">
      <w:r>
        <w:t xml:space="preserve">Emotional readiness is the </w:t>
      </w:r>
      <w:r w:rsidR="00687315">
        <w:t>emotional (often unconscious</w:t>
      </w:r>
      <w:r w:rsidR="00F44714">
        <w:t xml:space="preserve">) </w:t>
      </w:r>
      <w:r w:rsidR="00687315">
        <w:t>aspect</w:t>
      </w:r>
      <w:r w:rsidR="00F44714">
        <w:t xml:space="preserve"> of motivation to change. This can conflict with a conscious intention to change</w:t>
      </w:r>
      <w:r w:rsidR="00574927">
        <w:t xml:space="preserve"> and result in ambivalence. In separations parents can often be in </w:t>
      </w:r>
      <w:r w:rsidR="00946CDA">
        <w:t xml:space="preserve">an </w:t>
      </w:r>
      <w:r w:rsidR="00574927">
        <w:t>ambivalent state</w:t>
      </w:r>
      <w:r w:rsidR="00946CDA">
        <w:t>.</w:t>
      </w:r>
      <w:r w:rsidR="00574927">
        <w:t xml:space="preserve"> Cantwell (2014) argues that the ability to retain a focus on intention to change is key to effective dispute resolution. </w:t>
      </w:r>
      <w:r w:rsidR="000A30A3">
        <w:t xml:space="preserve">Research </w:t>
      </w:r>
      <w:r w:rsidR="00946CDA">
        <w:t xml:space="preserve">also </w:t>
      </w:r>
      <w:r w:rsidR="000A30A3">
        <w:t xml:space="preserve">suggests that some of the emotional states following separation </w:t>
      </w:r>
      <w:r w:rsidR="00BF6D13">
        <w:t>will influence the ability of parents to</w:t>
      </w:r>
      <w:r w:rsidR="00196007">
        <w:t xml:space="preserve"> negotiate over children’s arrangements and </w:t>
      </w:r>
      <w:r w:rsidR="00060197">
        <w:t>impact on co-parenting (</w:t>
      </w:r>
      <w:proofErr w:type="spellStart"/>
      <w:r w:rsidR="00805CD2">
        <w:t>Houlston</w:t>
      </w:r>
      <w:proofErr w:type="spellEnd"/>
      <w:r w:rsidR="00805CD2">
        <w:t xml:space="preserve"> et al 2019).</w:t>
      </w:r>
      <w:r w:rsidR="00D276E7">
        <w:t xml:space="preserve"> Early </w:t>
      </w:r>
      <w:r w:rsidR="0075309D">
        <w:t>intervention (including mediation) can prevent</w:t>
      </w:r>
      <w:r w:rsidR="007E5E7E">
        <w:t xml:space="preserve"> parental conflict from becoming intrenched, however,</w:t>
      </w:r>
      <w:r w:rsidR="005A56F3">
        <w:t xml:space="preserve"> where this is attempted with parents who are not emotionally ready this can risk</w:t>
      </w:r>
      <w:r w:rsidR="00C84F03">
        <w:t xml:space="preserve"> further entrenchment in the longer term (</w:t>
      </w:r>
      <w:proofErr w:type="spellStart"/>
      <w:r w:rsidR="002132CC">
        <w:t>Houlston</w:t>
      </w:r>
      <w:proofErr w:type="spellEnd"/>
      <w:r w:rsidR="002132CC">
        <w:t xml:space="preserve"> et al 2019). </w:t>
      </w:r>
      <w:r w:rsidR="008D760A">
        <w:t xml:space="preserve">It is argued that those who are not </w:t>
      </w:r>
      <w:r w:rsidR="00946CDA">
        <w:t>‘</w:t>
      </w:r>
      <w:r w:rsidR="008D760A">
        <w:t>emotionally ready</w:t>
      </w:r>
      <w:r w:rsidR="00946CDA">
        <w:t>’</w:t>
      </w:r>
      <w:r w:rsidR="008D760A">
        <w:t xml:space="preserve"> will require </w:t>
      </w:r>
      <w:r w:rsidR="00E23043">
        <w:t xml:space="preserve">additional support such as communication skills development or </w:t>
      </w:r>
      <w:r w:rsidR="00230E11">
        <w:t>psychological</w:t>
      </w:r>
      <w:r w:rsidR="00E23043">
        <w:t xml:space="preserve"> intervention</w:t>
      </w:r>
      <w:r w:rsidR="00230E11">
        <w:t xml:space="preserve"> (counselling). Therefore, it is highly relevant that </w:t>
      </w:r>
      <w:r w:rsidR="00946CDA">
        <w:t xml:space="preserve">the </w:t>
      </w:r>
      <w:r w:rsidR="00230E11">
        <w:t xml:space="preserve">Cafcass </w:t>
      </w:r>
      <w:r w:rsidR="00A43286">
        <w:t xml:space="preserve">assessment identifies and indicate </w:t>
      </w:r>
      <w:r w:rsidR="00B00DBC">
        <w:t xml:space="preserve">emotional readiness </w:t>
      </w:r>
      <w:r w:rsidR="00651A09">
        <w:t xml:space="preserve">to change to inform </w:t>
      </w:r>
      <w:r w:rsidR="00946CDA">
        <w:t xml:space="preserve">the </w:t>
      </w:r>
      <w:r w:rsidR="00651A09">
        <w:t>select</w:t>
      </w:r>
      <w:r w:rsidR="00946CDA">
        <w:t>ion of</w:t>
      </w:r>
      <w:r w:rsidR="00651A09">
        <w:t xml:space="preserve"> the most appropriate way froward from the menu of options. </w:t>
      </w:r>
    </w:p>
    <w:p w14:paraId="0E1AFF8F" w14:textId="50F0B9B2" w:rsidR="002E5A09" w:rsidRPr="00F826E6" w:rsidRDefault="00F826E6" w:rsidP="002E5A09">
      <w:r>
        <w:t>The state of emotional readiness</w:t>
      </w:r>
      <w:r w:rsidR="00F3662B">
        <w:t xml:space="preserve"> will </w:t>
      </w:r>
      <w:r w:rsidR="00A73824">
        <w:t xml:space="preserve">depend on acknowledging </w:t>
      </w:r>
      <w:r w:rsidR="0062154D">
        <w:t>feelings, listening to others, the ability to mentalise</w:t>
      </w:r>
      <w:r w:rsidR="00946CDA">
        <w:t>,</w:t>
      </w:r>
      <w:r w:rsidR="0062154D">
        <w:t xml:space="preserve"> empathise and </w:t>
      </w:r>
      <w:r w:rsidR="00BA45BD">
        <w:t xml:space="preserve">set aside </w:t>
      </w:r>
      <w:r w:rsidR="00410CA9">
        <w:t>one’s</w:t>
      </w:r>
      <w:r w:rsidR="00BA45BD">
        <w:t xml:space="preserve"> own feelings</w:t>
      </w:r>
      <w:r w:rsidR="00CF04C2">
        <w:t xml:space="preserve"> for the benefit of the child(ren).</w:t>
      </w:r>
      <w:r w:rsidR="00220368">
        <w:t xml:space="preserve"> </w:t>
      </w:r>
      <w:r w:rsidR="006D36BC">
        <w:t>Mental health</w:t>
      </w:r>
      <w:r w:rsidR="000C782C">
        <w:t>, personality, resilience</w:t>
      </w:r>
      <w:r w:rsidR="000E1BE0">
        <w:t>, personal history</w:t>
      </w:r>
      <w:r w:rsidR="000C782C">
        <w:t xml:space="preserve"> and </w:t>
      </w:r>
      <w:r w:rsidR="001D55DF">
        <w:t>misuse of drugs or alcohol will</w:t>
      </w:r>
      <w:r w:rsidR="00400EA4">
        <w:t xml:space="preserve"> also</w:t>
      </w:r>
      <w:r w:rsidR="001D55DF">
        <w:t xml:space="preserve"> impact on</w:t>
      </w:r>
      <w:r w:rsidR="00D1658B">
        <w:t xml:space="preserve"> emotional readiness.</w:t>
      </w:r>
    </w:p>
    <w:p w14:paraId="3CCAC939" w14:textId="6CC6BB0B" w:rsidR="002E5A09" w:rsidRDefault="002E5A09" w:rsidP="002E5A09">
      <w:r>
        <w:t xml:space="preserve">This </w:t>
      </w:r>
      <w:r w:rsidR="00462F2D">
        <w:t xml:space="preserve">practice aid </w:t>
      </w:r>
      <w:r>
        <w:t>provides questions to assist the assessment of the level of emotional readiness that will impact on co-parent</w:t>
      </w:r>
      <w:r w:rsidR="00F174BE">
        <w:t>ing (parenting together)</w:t>
      </w:r>
      <w:r>
        <w:t xml:space="preserve"> and agree</w:t>
      </w:r>
      <w:r w:rsidR="008A6ED3">
        <w:t>ing</w:t>
      </w:r>
      <w:r>
        <w:t xml:space="preserve"> arrangements that best meets the needs of the child</w:t>
      </w:r>
      <w:r w:rsidR="008A6ED3">
        <w:t>(ren). The</w:t>
      </w:r>
      <w:r w:rsidR="00EE1B81">
        <w:t xml:space="preserve"> </w:t>
      </w:r>
      <w:r w:rsidR="00EE1B81">
        <w:rPr>
          <w:b/>
          <w:bCs/>
        </w:rPr>
        <w:t xml:space="preserve">emotional readiness ruler </w:t>
      </w:r>
      <w:r w:rsidR="00EE1B81">
        <w:t>provides a scale to measure</w:t>
      </w:r>
      <w:r w:rsidR="0047368C">
        <w:t xml:space="preserve"> responses of both parents (carers) </w:t>
      </w:r>
      <w:r w:rsidR="00DD2E2F">
        <w:t>and contribute to an assessment regarding their emotional readiness to participate effectively and positively in family proceedings, leading to improve</w:t>
      </w:r>
      <w:r w:rsidR="00480BDF">
        <w:t>d</w:t>
      </w:r>
      <w:r w:rsidR="00DD2E2F">
        <w:t xml:space="preserve"> communication, reduced conflict and</w:t>
      </w:r>
      <w:r w:rsidR="00480BDF">
        <w:t xml:space="preserve"> the best possib</w:t>
      </w:r>
      <w:r w:rsidR="003B6742">
        <w:t>l</w:t>
      </w:r>
      <w:r w:rsidR="00480BDF">
        <w:t xml:space="preserve">e arrangements for their child(ren). </w:t>
      </w:r>
      <w:r w:rsidR="00946CDA">
        <w:t>It draws on techniques found in Motivational Interviewing (Miller &amp; Rollnick</w:t>
      </w:r>
      <w:r w:rsidR="00095E70">
        <w:t xml:space="preserve"> 2012)</w:t>
      </w:r>
      <w:r w:rsidR="00946CDA">
        <w:t xml:space="preserve">.  </w:t>
      </w:r>
    </w:p>
    <w:p w14:paraId="1D99183A" w14:textId="4DB40962" w:rsidR="00DE5C0F" w:rsidRDefault="00DE5C0F" w:rsidP="002E5A09"/>
    <w:p w14:paraId="0ED8C527" w14:textId="2D1026C3" w:rsidR="003B6742" w:rsidRDefault="003B6742" w:rsidP="002E5A09"/>
    <w:p w14:paraId="5FABC627" w14:textId="5BDDB2AA" w:rsidR="003B6742" w:rsidRDefault="003B6742" w:rsidP="002E5A09"/>
    <w:p w14:paraId="631BFE32" w14:textId="43F3A738" w:rsidR="003B6742" w:rsidRDefault="003B6742" w:rsidP="002E5A09"/>
    <w:p w14:paraId="7562EE20" w14:textId="6F563935" w:rsidR="003B6742" w:rsidRDefault="003B6742" w:rsidP="002E5A09"/>
    <w:p w14:paraId="59DDA28F" w14:textId="26B22EFA" w:rsidR="003B6742" w:rsidRDefault="003B6742" w:rsidP="002E5A09"/>
    <w:p w14:paraId="1CC0FD4C" w14:textId="32C2033C" w:rsidR="003B6742" w:rsidRDefault="003B6742" w:rsidP="002E5A09"/>
    <w:p w14:paraId="5802D83B" w14:textId="002E3B8F" w:rsidR="003B6742" w:rsidRDefault="003B6742" w:rsidP="002E5A09"/>
    <w:p w14:paraId="08AF948D" w14:textId="52E29028" w:rsidR="003B6742" w:rsidRDefault="003B6742" w:rsidP="002E5A09"/>
    <w:p w14:paraId="58C139D1" w14:textId="07D3FC0B" w:rsidR="003B6742" w:rsidRDefault="003B6742" w:rsidP="002E5A09"/>
    <w:p w14:paraId="6A78E1CC" w14:textId="3A7B4AF7" w:rsidR="003B6742" w:rsidRDefault="003B6742" w:rsidP="002E5A09"/>
    <w:p w14:paraId="26F7C93D" w14:textId="0AEFE508" w:rsidR="003B6742" w:rsidRDefault="003B6742" w:rsidP="002E5A09"/>
    <w:p w14:paraId="6639A4C6" w14:textId="234DDE0A" w:rsidR="00DE5C0F" w:rsidRDefault="00DE5C0F" w:rsidP="00DE5C0F">
      <w:pPr>
        <w:jc w:val="center"/>
        <w:rPr>
          <w:b/>
          <w:bCs/>
          <w:sz w:val="28"/>
          <w:szCs w:val="28"/>
          <w:u w:val="single"/>
        </w:rPr>
      </w:pPr>
    </w:p>
    <w:p w14:paraId="0E759C72" w14:textId="5E0A4CE1" w:rsidR="00EB2E1D" w:rsidRDefault="00EB2E1D" w:rsidP="00DE5C0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Emotional readiness to change – screening </w:t>
      </w:r>
      <w:r w:rsidR="003E1877">
        <w:rPr>
          <w:b/>
          <w:bCs/>
          <w:sz w:val="28"/>
          <w:szCs w:val="28"/>
          <w:u w:val="single"/>
        </w:rPr>
        <w:t>aid</w:t>
      </w:r>
    </w:p>
    <w:p w14:paraId="61F4776B" w14:textId="77777777" w:rsidR="00EB2E1D" w:rsidRDefault="00EB2E1D" w:rsidP="00DE5C0F">
      <w:pPr>
        <w:jc w:val="center"/>
        <w:rPr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059"/>
      </w:tblGrid>
      <w:tr w:rsidR="00EB2E1D" w14:paraId="34333CB4" w14:textId="77777777" w:rsidTr="00EB2E1D">
        <w:tc>
          <w:tcPr>
            <w:tcW w:w="4957" w:type="dxa"/>
          </w:tcPr>
          <w:p w14:paraId="266E23A8" w14:textId="18FB1715" w:rsidR="00EB2E1D" w:rsidRPr="00EB2E1D" w:rsidRDefault="00EB2E1D" w:rsidP="00EB2E1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Child record number:</w:t>
            </w:r>
          </w:p>
        </w:tc>
        <w:tc>
          <w:tcPr>
            <w:tcW w:w="4059" w:type="dxa"/>
          </w:tcPr>
          <w:p w14:paraId="6A5AB088" w14:textId="34B25352" w:rsidR="00EB2E1D" w:rsidRPr="00EB2E1D" w:rsidRDefault="00EB2E1D" w:rsidP="00EB2E1D">
            <w:pPr>
              <w:rPr>
                <w:b/>
                <w:bCs/>
                <w:sz w:val="28"/>
                <w:szCs w:val="28"/>
              </w:rPr>
            </w:pPr>
            <w:r w:rsidRPr="00EB2E1D">
              <w:rPr>
                <w:b/>
                <w:bCs/>
                <w:sz w:val="28"/>
                <w:szCs w:val="28"/>
              </w:rPr>
              <w:t>Date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EB2E1D" w14:paraId="639FEED6" w14:textId="77777777" w:rsidTr="00EB2E1D">
        <w:tc>
          <w:tcPr>
            <w:tcW w:w="4957" w:type="dxa"/>
          </w:tcPr>
          <w:p w14:paraId="78081228" w14:textId="34506C40" w:rsidR="00EB2E1D" w:rsidRDefault="00EB2E1D" w:rsidP="00EB2E1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Name of parent/carer:</w:t>
            </w:r>
          </w:p>
        </w:tc>
        <w:tc>
          <w:tcPr>
            <w:tcW w:w="4059" w:type="dxa"/>
          </w:tcPr>
          <w:p w14:paraId="68AD83A3" w14:textId="3B85FB5D" w:rsidR="00EB2E1D" w:rsidRPr="00EB2E1D" w:rsidRDefault="00EB2E1D" w:rsidP="00EB2E1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Applicant (A)/Respondent(R):</w:t>
            </w:r>
          </w:p>
        </w:tc>
      </w:tr>
    </w:tbl>
    <w:p w14:paraId="048DCF58" w14:textId="70A4AB3F" w:rsidR="00EB2E1D" w:rsidRDefault="00EB2E1D" w:rsidP="00DE5C0F">
      <w:pPr>
        <w:jc w:val="center"/>
        <w:rPr>
          <w:b/>
          <w:bCs/>
          <w:sz w:val="28"/>
          <w:szCs w:val="28"/>
          <w:u w:val="single"/>
        </w:rPr>
      </w:pPr>
    </w:p>
    <w:p w14:paraId="784A7D81" w14:textId="77777777" w:rsidR="00EB2E1D" w:rsidRDefault="00EB2E1D" w:rsidP="00DE5C0F">
      <w:pPr>
        <w:jc w:val="center"/>
        <w:rPr>
          <w:b/>
          <w:bCs/>
          <w:sz w:val="28"/>
          <w:szCs w:val="28"/>
          <w:u w:val="single"/>
        </w:rPr>
      </w:pPr>
    </w:p>
    <w:p w14:paraId="4D417899" w14:textId="0B797E9D" w:rsidR="00EB2E1D" w:rsidRDefault="00EB2E1D" w:rsidP="00DE5C0F">
      <w:pPr>
        <w:jc w:val="center"/>
        <w:rPr>
          <w:b/>
          <w:bCs/>
          <w:sz w:val="28"/>
          <w:szCs w:val="28"/>
          <w:u w:val="single"/>
        </w:rPr>
      </w:pPr>
      <w:r w:rsidRPr="00400EA4">
        <w:rPr>
          <w:b/>
          <w:bCs/>
          <w:sz w:val="28"/>
          <w:szCs w:val="28"/>
          <w:u w:val="single"/>
        </w:rPr>
        <w:t>Emotional Readiness Ruler</w:t>
      </w:r>
    </w:p>
    <w:p w14:paraId="71CCEC2A" w14:textId="77777777" w:rsidR="001D2F6A" w:rsidRPr="001D2F6A" w:rsidRDefault="001D2F6A" w:rsidP="001D2F6A">
      <w:pPr>
        <w:spacing w:after="0" w:line="240" w:lineRule="auto"/>
        <w:rPr>
          <w:rFonts w:eastAsia="Times New Roman"/>
        </w:rPr>
      </w:pPr>
    </w:p>
    <w:p w14:paraId="7FFC59E3" w14:textId="4C3433DF" w:rsidR="00131638" w:rsidRDefault="001D2F6A" w:rsidP="00131638">
      <w:r>
        <w:t xml:space="preserve">The Emotional Readiness </w:t>
      </w:r>
      <w:r w:rsidR="00BD4383">
        <w:t>score</w:t>
      </w:r>
      <w:r w:rsidR="008A299D">
        <w:t xml:space="preserve"> is</w:t>
      </w:r>
      <w:r w:rsidR="00BD4383">
        <w:t xml:space="preserve"> not to be added up or shared with parties. The </w:t>
      </w:r>
      <w:r w:rsidR="003E1877">
        <w:t>practice aid</w:t>
      </w:r>
      <w:r w:rsidR="008A299D">
        <w:t xml:space="preserve"> should only be used to assist with FCA thinking and </w:t>
      </w:r>
      <w:r w:rsidR="00CB19E8">
        <w:t>assessment o</w:t>
      </w:r>
      <w:r w:rsidR="0046080F">
        <w:t>n</w:t>
      </w:r>
      <w:r w:rsidR="00CB19E8">
        <w:t xml:space="preserve"> readiness, leading to appropriate recommendations for further work. </w:t>
      </w:r>
    </w:p>
    <w:p w14:paraId="21792884" w14:textId="37648F05" w:rsidR="00B01D78" w:rsidRDefault="005A4538" w:rsidP="00B01D78">
      <w:r>
        <w:t xml:space="preserve">Please ask </w:t>
      </w:r>
      <w:r w:rsidR="0046080F">
        <w:t>parties</w:t>
      </w:r>
      <w:r w:rsidR="00F76862">
        <w:t xml:space="preserve"> to </w:t>
      </w:r>
      <w:r w:rsidR="0046080F">
        <w:t xml:space="preserve">respond to the following questions, </w:t>
      </w:r>
      <w:r w:rsidR="00B01D78">
        <w:t>gaug</w:t>
      </w:r>
      <w:r w:rsidR="00072863">
        <w:t>ing</w:t>
      </w:r>
      <w:r w:rsidR="00B01D78">
        <w:t xml:space="preserve"> their response on the scale </w:t>
      </w:r>
      <w:r w:rsidR="00FD7C33">
        <w:t xml:space="preserve">below - </w:t>
      </w:r>
      <w:r w:rsidR="00B01D78">
        <w:t xml:space="preserve">1 being </w:t>
      </w:r>
      <w:r w:rsidR="00B01D78" w:rsidRPr="00B01D78">
        <w:rPr>
          <w:i/>
          <w:iCs/>
        </w:rPr>
        <w:t xml:space="preserve">I completely disagree </w:t>
      </w:r>
      <w:r w:rsidR="00B01D78">
        <w:t xml:space="preserve">and 10 being </w:t>
      </w:r>
      <w:r w:rsidR="00B01D78" w:rsidRPr="00B01D78">
        <w:rPr>
          <w:i/>
          <w:iCs/>
        </w:rPr>
        <w:t>I completely agree</w:t>
      </w:r>
      <w:r w:rsidR="00FD7C33">
        <w:t>.</w:t>
      </w:r>
    </w:p>
    <w:p w14:paraId="3F58BDDE" w14:textId="401418A2" w:rsidR="005A4538" w:rsidRPr="001D2F6A" w:rsidRDefault="005A4538" w:rsidP="00131638"/>
    <w:tbl>
      <w:tblPr>
        <w:tblStyle w:val="TableGrid"/>
        <w:tblW w:w="0" w:type="auto"/>
        <w:shd w:val="clear" w:color="auto" w:fill="7030A0"/>
        <w:tblLook w:val="04A0" w:firstRow="1" w:lastRow="0" w:firstColumn="1" w:lastColumn="0" w:noHBand="0" w:noVBand="1"/>
      </w:tblPr>
      <w:tblGrid>
        <w:gridCol w:w="1210"/>
        <w:gridCol w:w="823"/>
        <w:gridCol w:w="824"/>
        <w:gridCol w:w="824"/>
        <w:gridCol w:w="825"/>
        <w:gridCol w:w="825"/>
        <w:gridCol w:w="825"/>
        <w:gridCol w:w="825"/>
        <w:gridCol w:w="825"/>
        <w:gridCol w:w="1210"/>
      </w:tblGrid>
      <w:tr w:rsidR="00BA39EE" w:rsidRPr="004611AA" w14:paraId="0B40D144" w14:textId="77777777" w:rsidTr="007E7376">
        <w:tc>
          <w:tcPr>
            <w:tcW w:w="901" w:type="dxa"/>
            <w:shd w:val="clear" w:color="auto" w:fill="632B8D"/>
          </w:tcPr>
          <w:p w14:paraId="3ABBDC25" w14:textId="278C9B66" w:rsidR="00133587" w:rsidRPr="004611AA" w:rsidRDefault="00E0151B" w:rsidP="004611AA">
            <w:pPr>
              <w:jc w:val="center"/>
              <w:rPr>
                <w:color w:val="FFFFFF" w:themeColor="background1"/>
              </w:rPr>
            </w:pPr>
            <w:r w:rsidRPr="004611AA">
              <w:rPr>
                <w:color w:val="FFFFFF" w:themeColor="background1"/>
              </w:rPr>
              <w:t xml:space="preserve">I completely </w:t>
            </w:r>
            <w:r w:rsidR="004611AA" w:rsidRPr="004611AA">
              <w:rPr>
                <w:color w:val="FFFFFF" w:themeColor="background1"/>
              </w:rPr>
              <w:t>disagree</w:t>
            </w:r>
          </w:p>
        </w:tc>
        <w:tc>
          <w:tcPr>
            <w:tcW w:w="901" w:type="dxa"/>
            <w:shd w:val="clear" w:color="auto" w:fill="6C2E9A"/>
          </w:tcPr>
          <w:p w14:paraId="53F94DE9" w14:textId="77777777" w:rsidR="00133587" w:rsidRPr="004611AA" w:rsidRDefault="00133587" w:rsidP="00F40CF0">
            <w:pPr>
              <w:rPr>
                <w:color w:val="FFFFFF" w:themeColor="background1"/>
              </w:rPr>
            </w:pPr>
          </w:p>
        </w:tc>
        <w:tc>
          <w:tcPr>
            <w:tcW w:w="901" w:type="dxa"/>
            <w:shd w:val="clear" w:color="auto" w:fill="7E36B4"/>
          </w:tcPr>
          <w:p w14:paraId="1E2EC5A7" w14:textId="77777777" w:rsidR="00133587" w:rsidRPr="004611AA" w:rsidRDefault="00133587" w:rsidP="00F40CF0">
            <w:pPr>
              <w:rPr>
                <w:color w:val="FFFFFF" w:themeColor="background1"/>
              </w:rPr>
            </w:pPr>
          </w:p>
        </w:tc>
        <w:tc>
          <w:tcPr>
            <w:tcW w:w="901" w:type="dxa"/>
            <w:shd w:val="clear" w:color="auto" w:fill="8A3BC5"/>
          </w:tcPr>
          <w:p w14:paraId="036161A0" w14:textId="77777777" w:rsidR="00133587" w:rsidRPr="004611AA" w:rsidRDefault="00133587" w:rsidP="00F40CF0">
            <w:pPr>
              <w:rPr>
                <w:color w:val="FFFFFF" w:themeColor="background1"/>
              </w:rPr>
            </w:pPr>
          </w:p>
        </w:tc>
        <w:tc>
          <w:tcPr>
            <w:tcW w:w="902" w:type="dxa"/>
            <w:shd w:val="clear" w:color="auto" w:fill="954ECA"/>
          </w:tcPr>
          <w:p w14:paraId="49EAF551" w14:textId="0200803D" w:rsidR="00133587" w:rsidRPr="004611AA" w:rsidRDefault="00133587" w:rsidP="0041175D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902" w:type="dxa"/>
            <w:shd w:val="clear" w:color="auto" w:fill="A568D2"/>
          </w:tcPr>
          <w:p w14:paraId="55D1F51F" w14:textId="77777777" w:rsidR="00133587" w:rsidRPr="004611AA" w:rsidRDefault="00133587" w:rsidP="00F40CF0">
            <w:pPr>
              <w:rPr>
                <w:color w:val="FFFFFF" w:themeColor="background1"/>
              </w:rPr>
            </w:pPr>
          </w:p>
        </w:tc>
        <w:tc>
          <w:tcPr>
            <w:tcW w:w="902" w:type="dxa"/>
            <w:shd w:val="clear" w:color="auto" w:fill="B17ED8"/>
          </w:tcPr>
          <w:p w14:paraId="72B59826" w14:textId="77777777" w:rsidR="00133587" w:rsidRPr="004611AA" w:rsidRDefault="00133587" w:rsidP="00F40CF0">
            <w:pPr>
              <w:rPr>
                <w:color w:val="FFFFFF" w:themeColor="background1"/>
              </w:rPr>
            </w:pPr>
          </w:p>
        </w:tc>
        <w:tc>
          <w:tcPr>
            <w:tcW w:w="902" w:type="dxa"/>
            <w:shd w:val="clear" w:color="auto" w:fill="BC8FDD"/>
          </w:tcPr>
          <w:p w14:paraId="3B9AED9B" w14:textId="77777777" w:rsidR="00133587" w:rsidRPr="004611AA" w:rsidRDefault="00133587" w:rsidP="00F40CF0">
            <w:pPr>
              <w:rPr>
                <w:color w:val="FFFFFF" w:themeColor="background1"/>
              </w:rPr>
            </w:pPr>
          </w:p>
        </w:tc>
        <w:tc>
          <w:tcPr>
            <w:tcW w:w="902" w:type="dxa"/>
            <w:shd w:val="clear" w:color="auto" w:fill="C198E0"/>
          </w:tcPr>
          <w:p w14:paraId="419A1A44" w14:textId="77777777" w:rsidR="00133587" w:rsidRPr="004611AA" w:rsidRDefault="00133587" w:rsidP="00F40CF0">
            <w:pPr>
              <w:rPr>
                <w:color w:val="FFFFFF" w:themeColor="background1"/>
              </w:rPr>
            </w:pPr>
          </w:p>
        </w:tc>
        <w:tc>
          <w:tcPr>
            <w:tcW w:w="902" w:type="dxa"/>
            <w:shd w:val="clear" w:color="auto" w:fill="CDADE5"/>
          </w:tcPr>
          <w:p w14:paraId="4FEE7D11" w14:textId="02E65BC4" w:rsidR="00133587" w:rsidRPr="004611AA" w:rsidRDefault="004611AA" w:rsidP="004611AA">
            <w:pPr>
              <w:jc w:val="center"/>
              <w:rPr>
                <w:color w:val="FFFFFF" w:themeColor="background1"/>
              </w:rPr>
            </w:pPr>
            <w:r w:rsidRPr="004611AA">
              <w:rPr>
                <w:color w:val="FFFFFF" w:themeColor="background1"/>
              </w:rPr>
              <w:t>I completely agree</w:t>
            </w:r>
          </w:p>
        </w:tc>
      </w:tr>
    </w:tbl>
    <w:p w14:paraId="62FD9D06" w14:textId="6FABDA98" w:rsidR="00F40CF0" w:rsidRDefault="004611AA" w:rsidP="00F40CF0">
      <w:pPr>
        <w:rPr>
          <w:b/>
          <w:bCs/>
          <w:color w:val="002060"/>
        </w:rPr>
      </w:pPr>
      <w:r w:rsidRPr="00A26C8E">
        <w:rPr>
          <w:b/>
          <w:bCs/>
          <w:color w:val="002060"/>
        </w:rPr>
        <w:t xml:space="preserve">          </w:t>
      </w:r>
      <w:r w:rsidR="001B0785" w:rsidRPr="00A26C8E">
        <w:rPr>
          <w:b/>
          <w:bCs/>
          <w:color w:val="002060"/>
        </w:rPr>
        <w:t>1                   2              3               4              5              6               7              8              9                  10</w:t>
      </w:r>
    </w:p>
    <w:p w14:paraId="2EEDFC92" w14:textId="77777777" w:rsidR="00E051B9" w:rsidRPr="00A26C8E" w:rsidRDefault="00E051B9" w:rsidP="00F40CF0">
      <w:pPr>
        <w:rPr>
          <w:b/>
          <w:bCs/>
          <w:color w:val="002060"/>
        </w:rPr>
      </w:pPr>
    </w:p>
    <w:tbl>
      <w:tblPr>
        <w:tblStyle w:val="TableGrid"/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9923"/>
        <w:gridCol w:w="851"/>
      </w:tblGrid>
      <w:tr w:rsidR="00E051B9" w:rsidRPr="009B04BA" w14:paraId="1336F9EA" w14:textId="77777777" w:rsidTr="00E051B9">
        <w:trPr>
          <w:jc w:val="center"/>
        </w:trPr>
        <w:tc>
          <w:tcPr>
            <w:tcW w:w="9923" w:type="dxa"/>
            <w:shd w:val="clear" w:color="auto" w:fill="D9D9D9" w:themeFill="background1" w:themeFillShade="D9"/>
          </w:tcPr>
          <w:p w14:paraId="365650FC" w14:textId="7E349027" w:rsidR="00E051B9" w:rsidRPr="009B04BA" w:rsidRDefault="00E051B9" w:rsidP="0064615C">
            <w:pPr>
              <w:rPr>
                <w:b/>
                <w:bCs/>
              </w:rPr>
            </w:pPr>
            <w:r w:rsidRPr="009B04BA">
              <w:rPr>
                <w:b/>
                <w:bCs/>
              </w:rPr>
              <w:t>Questions: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86DB149" w14:textId="17467CB2" w:rsidR="00E051B9" w:rsidRPr="009B04BA" w:rsidRDefault="00E051B9" w:rsidP="00E051B9">
            <w:pPr>
              <w:jc w:val="center"/>
              <w:rPr>
                <w:b/>
                <w:bCs/>
              </w:rPr>
            </w:pPr>
            <w:r w:rsidRPr="009B04BA">
              <w:rPr>
                <w:b/>
                <w:bCs/>
              </w:rPr>
              <w:t>Score</w:t>
            </w:r>
          </w:p>
        </w:tc>
      </w:tr>
      <w:tr w:rsidR="00E051B9" w:rsidRPr="009B04BA" w14:paraId="6CB724EF" w14:textId="77777777" w:rsidTr="00E051B9">
        <w:trPr>
          <w:jc w:val="center"/>
        </w:trPr>
        <w:tc>
          <w:tcPr>
            <w:tcW w:w="9923" w:type="dxa"/>
          </w:tcPr>
          <w:p w14:paraId="0FB027FB" w14:textId="04A27C7B" w:rsidR="00E051B9" w:rsidRPr="009B04BA" w:rsidRDefault="00E051B9" w:rsidP="0064615C">
            <w:r w:rsidRPr="009B04BA">
              <w:t>I am committed to working with my ex-partner to resolve the dispute over our child(ren’s) arrangements.</w:t>
            </w:r>
          </w:p>
        </w:tc>
        <w:tc>
          <w:tcPr>
            <w:tcW w:w="851" w:type="dxa"/>
          </w:tcPr>
          <w:p w14:paraId="73FA846C" w14:textId="73DB2F0E" w:rsidR="00E051B9" w:rsidRPr="009B04BA" w:rsidRDefault="004E6816" w:rsidP="0064615C">
            <w:r w:rsidRPr="009B04BA">
              <w:t>0</w:t>
            </w:r>
          </w:p>
        </w:tc>
      </w:tr>
      <w:tr w:rsidR="00E051B9" w:rsidRPr="009B04BA" w14:paraId="2EFFFA9B" w14:textId="77777777" w:rsidTr="00E051B9">
        <w:trPr>
          <w:jc w:val="center"/>
        </w:trPr>
        <w:tc>
          <w:tcPr>
            <w:tcW w:w="9923" w:type="dxa"/>
          </w:tcPr>
          <w:p w14:paraId="4910CED9" w14:textId="19009A68" w:rsidR="00E051B9" w:rsidRPr="009B04BA" w:rsidRDefault="00E051B9" w:rsidP="0064615C">
            <w:r w:rsidRPr="009B04BA">
              <w:t>I trust my ex-partner’s parenting.</w:t>
            </w:r>
          </w:p>
        </w:tc>
        <w:tc>
          <w:tcPr>
            <w:tcW w:w="851" w:type="dxa"/>
          </w:tcPr>
          <w:p w14:paraId="24DC3592" w14:textId="3AA92732" w:rsidR="00E051B9" w:rsidRPr="009B04BA" w:rsidRDefault="004E6816" w:rsidP="0064615C">
            <w:r w:rsidRPr="009B04BA">
              <w:t>0</w:t>
            </w:r>
          </w:p>
        </w:tc>
      </w:tr>
      <w:tr w:rsidR="00E051B9" w:rsidRPr="009B04BA" w14:paraId="2C569B8D" w14:textId="77777777" w:rsidTr="00E051B9">
        <w:trPr>
          <w:jc w:val="center"/>
        </w:trPr>
        <w:tc>
          <w:tcPr>
            <w:tcW w:w="9923" w:type="dxa"/>
          </w:tcPr>
          <w:p w14:paraId="2D3DDA9C" w14:textId="0FD5D2B1" w:rsidR="00E051B9" w:rsidRPr="009B04BA" w:rsidRDefault="00E051B9" w:rsidP="0064615C">
            <w:r w:rsidRPr="009B04BA">
              <w:t>I feel angry towards my ex-partner.</w:t>
            </w:r>
          </w:p>
        </w:tc>
        <w:tc>
          <w:tcPr>
            <w:tcW w:w="851" w:type="dxa"/>
          </w:tcPr>
          <w:p w14:paraId="38F86565" w14:textId="06516D6D" w:rsidR="00E051B9" w:rsidRPr="009B04BA" w:rsidRDefault="004E6816" w:rsidP="0064615C">
            <w:r w:rsidRPr="009B04BA">
              <w:t>0</w:t>
            </w:r>
          </w:p>
        </w:tc>
      </w:tr>
      <w:tr w:rsidR="00E051B9" w:rsidRPr="009B04BA" w14:paraId="3AFDAE98" w14:textId="77777777" w:rsidTr="00E051B9">
        <w:trPr>
          <w:jc w:val="center"/>
        </w:trPr>
        <w:tc>
          <w:tcPr>
            <w:tcW w:w="9923" w:type="dxa"/>
          </w:tcPr>
          <w:p w14:paraId="119A2B1F" w14:textId="48519E8A" w:rsidR="00E051B9" w:rsidRPr="009B04BA" w:rsidRDefault="00E051B9" w:rsidP="0064615C">
            <w:r w:rsidRPr="009B04BA">
              <w:t>I respect my ex-partner.</w:t>
            </w:r>
          </w:p>
        </w:tc>
        <w:tc>
          <w:tcPr>
            <w:tcW w:w="851" w:type="dxa"/>
          </w:tcPr>
          <w:p w14:paraId="6274EEE5" w14:textId="7CDFB447" w:rsidR="00E051B9" w:rsidRPr="009B04BA" w:rsidRDefault="004E6816" w:rsidP="0064615C">
            <w:r w:rsidRPr="009B04BA">
              <w:t>0</w:t>
            </w:r>
          </w:p>
        </w:tc>
      </w:tr>
      <w:tr w:rsidR="00E051B9" w:rsidRPr="009B04BA" w14:paraId="117C5576" w14:textId="77777777" w:rsidTr="00E051B9">
        <w:trPr>
          <w:jc w:val="center"/>
        </w:trPr>
        <w:tc>
          <w:tcPr>
            <w:tcW w:w="9923" w:type="dxa"/>
          </w:tcPr>
          <w:p w14:paraId="311FCA2C" w14:textId="02AACB10" w:rsidR="00E051B9" w:rsidRPr="009B04BA" w:rsidRDefault="00E051B9" w:rsidP="0064615C">
            <w:r w:rsidRPr="009B04BA">
              <w:t>I value co-parenting with my ex-partner.</w:t>
            </w:r>
          </w:p>
        </w:tc>
        <w:tc>
          <w:tcPr>
            <w:tcW w:w="851" w:type="dxa"/>
          </w:tcPr>
          <w:p w14:paraId="2B9BC25E" w14:textId="2D140526" w:rsidR="00E051B9" w:rsidRPr="009B04BA" w:rsidRDefault="004E6816" w:rsidP="0064615C">
            <w:r w:rsidRPr="009B04BA">
              <w:t>0</w:t>
            </w:r>
          </w:p>
        </w:tc>
      </w:tr>
      <w:tr w:rsidR="00E051B9" w:rsidRPr="009B04BA" w14:paraId="10421DFD" w14:textId="77777777" w:rsidTr="00E051B9">
        <w:trPr>
          <w:jc w:val="center"/>
        </w:trPr>
        <w:tc>
          <w:tcPr>
            <w:tcW w:w="9923" w:type="dxa"/>
          </w:tcPr>
          <w:p w14:paraId="69E74404" w14:textId="30D4EE56" w:rsidR="00E051B9" w:rsidRPr="009B04BA" w:rsidRDefault="00E051B9" w:rsidP="0064615C">
            <w:r w:rsidRPr="009B04BA">
              <w:t>I feel partly responsible for the dispute with my ex-partner.</w:t>
            </w:r>
          </w:p>
        </w:tc>
        <w:tc>
          <w:tcPr>
            <w:tcW w:w="851" w:type="dxa"/>
          </w:tcPr>
          <w:p w14:paraId="68293779" w14:textId="7416584C" w:rsidR="00E051B9" w:rsidRPr="009B04BA" w:rsidRDefault="004E6816" w:rsidP="0064615C">
            <w:r w:rsidRPr="009B04BA">
              <w:t>0</w:t>
            </w:r>
          </w:p>
        </w:tc>
      </w:tr>
      <w:tr w:rsidR="00E051B9" w:rsidRPr="009B04BA" w14:paraId="675247A1" w14:textId="77777777" w:rsidTr="00E051B9">
        <w:trPr>
          <w:jc w:val="center"/>
        </w:trPr>
        <w:tc>
          <w:tcPr>
            <w:tcW w:w="9923" w:type="dxa"/>
          </w:tcPr>
          <w:p w14:paraId="53851E25" w14:textId="54478F63" w:rsidR="00E051B9" w:rsidRPr="009B04BA" w:rsidRDefault="00E051B9" w:rsidP="0064615C">
            <w:r w:rsidRPr="009B04BA">
              <w:t>I believe it is important for my child(ren) to have a good relationship with both parents.</w:t>
            </w:r>
          </w:p>
        </w:tc>
        <w:tc>
          <w:tcPr>
            <w:tcW w:w="851" w:type="dxa"/>
          </w:tcPr>
          <w:p w14:paraId="34E243DD" w14:textId="18463F1E" w:rsidR="00E051B9" w:rsidRPr="009B04BA" w:rsidRDefault="004E6816" w:rsidP="0064615C">
            <w:r w:rsidRPr="009B04BA">
              <w:t>0</w:t>
            </w:r>
          </w:p>
        </w:tc>
      </w:tr>
      <w:tr w:rsidR="00E051B9" w:rsidRPr="009B04BA" w14:paraId="162A72F4" w14:textId="77777777" w:rsidTr="00E051B9">
        <w:trPr>
          <w:jc w:val="center"/>
        </w:trPr>
        <w:tc>
          <w:tcPr>
            <w:tcW w:w="9923" w:type="dxa"/>
          </w:tcPr>
          <w:p w14:paraId="5A92DD3A" w14:textId="54A4F23B" w:rsidR="00E051B9" w:rsidRPr="009B04BA" w:rsidRDefault="00E051B9" w:rsidP="0064615C">
            <w:r w:rsidRPr="009B04BA">
              <w:t>I can understand the views of my ex-partner, even if I don’t agree with them.</w:t>
            </w:r>
          </w:p>
        </w:tc>
        <w:tc>
          <w:tcPr>
            <w:tcW w:w="851" w:type="dxa"/>
          </w:tcPr>
          <w:p w14:paraId="4F3DEFEF" w14:textId="59F01DC4" w:rsidR="00E051B9" w:rsidRPr="009B04BA" w:rsidRDefault="004E6816" w:rsidP="0064615C">
            <w:r w:rsidRPr="009B04BA">
              <w:t>0</w:t>
            </w:r>
          </w:p>
        </w:tc>
      </w:tr>
      <w:tr w:rsidR="00E051B9" w:rsidRPr="009B04BA" w14:paraId="46D52B66" w14:textId="77777777" w:rsidTr="00E051B9">
        <w:trPr>
          <w:jc w:val="center"/>
        </w:trPr>
        <w:tc>
          <w:tcPr>
            <w:tcW w:w="9923" w:type="dxa"/>
          </w:tcPr>
          <w:p w14:paraId="35C241D7" w14:textId="31E103C2" w:rsidR="00E051B9" w:rsidRPr="009B04BA" w:rsidRDefault="00E051B9" w:rsidP="00E051B9">
            <w:r w:rsidRPr="009B04BA">
              <w:t>I am able to get into the shoes of my child(ren) and understand their experience of the dispute.</w:t>
            </w:r>
          </w:p>
        </w:tc>
        <w:tc>
          <w:tcPr>
            <w:tcW w:w="851" w:type="dxa"/>
          </w:tcPr>
          <w:p w14:paraId="78649C82" w14:textId="6BB2C70F" w:rsidR="00E051B9" w:rsidRPr="009B04BA" w:rsidRDefault="004E6816" w:rsidP="0064615C">
            <w:r w:rsidRPr="009B04BA">
              <w:t>0</w:t>
            </w:r>
          </w:p>
        </w:tc>
      </w:tr>
      <w:tr w:rsidR="00E051B9" w:rsidRPr="009B04BA" w14:paraId="6E637B41" w14:textId="77777777" w:rsidTr="00E051B9">
        <w:trPr>
          <w:jc w:val="center"/>
        </w:trPr>
        <w:tc>
          <w:tcPr>
            <w:tcW w:w="9923" w:type="dxa"/>
          </w:tcPr>
          <w:p w14:paraId="7FAA08D7" w14:textId="27FA1EEE" w:rsidR="00E051B9" w:rsidRPr="009B04BA" w:rsidRDefault="00E051B9" w:rsidP="00E051B9">
            <w:r w:rsidRPr="009B04BA">
              <w:t>I am confident that communication with my ex-partner can improve.</w:t>
            </w:r>
            <w:r w:rsidRPr="009B04BA">
              <w:tab/>
            </w:r>
          </w:p>
        </w:tc>
        <w:tc>
          <w:tcPr>
            <w:tcW w:w="851" w:type="dxa"/>
          </w:tcPr>
          <w:p w14:paraId="392227F4" w14:textId="448B8901" w:rsidR="00E051B9" w:rsidRPr="009B04BA" w:rsidRDefault="004E6816" w:rsidP="0064615C">
            <w:r w:rsidRPr="009B04BA">
              <w:t>0</w:t>
            </w:r>
          </w:p>
        </w:tc>
      </w:tr>
      <w:tr w:rsidR="00E051B9" w:rsidRPr="009B04BA" w14:paraId="7AC699DC" w14:textId="77777777" w:rsidTr="00666E84">
        <w:trPr>
          <w:jc w:val="center"/>
        </w:trPr>
        <w:tc>
          <w:tcPr>
            <w:tcW w:w="9923" w:type="dxa"/>
            <w:shd w:val="clear" w:color="auto" w:fill="F2F2F2" w:themeFill="background1" w:themeFillShade="F2"/>
          </w:tcPr>
          <w:p w14:paraId="59059062" w14:textId="46C71C81" w:rsidR="00E051B9" w:rsidRPr="009B04BA" w:rsidRDefault="00E051B9" w:rsidP="00E051B9">
            <w:pPr>
              <w:jc w:val="right"/>
              <w:rPr>
                <w:b/>
                <w:bCs/>
              </w:rPr>
            </w:pPr>
            <w:r w:rsidRPr="009B04BA">
              <w:rPr>
                <w:b/>
                <w:bCs/>
              </w:rPr>
              <w:t>Total: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580D70B" w14:textId="68507B45" w:rsidR="00732797" w:rsidRPr="009B04BA" w:rsidRDefault="004E6816" w:rsidP="0064615C">
            <w:r w:rsidRPr="009B04BA">
              <w:fldChar w:fldCharType="begin"/>
            </w:r>
            <w:r w:rsidRPr="009B04BA">
              <w:instrText xml:space="preserve"> =SUM(ABOVE) </w:instrText>
            </w:r>
            <w:r w:rsidRPr="009B04BA">
              <w:fldChar w:fldCharType="separate"/>
            </w:r>
            <w:r w:rsidRPr="009B04BA">
              <w:rPr>
                <w:noProof/>
              </w:rPr>
              <w:t>0</w:t>
            </w:r>
            <w:r w:rsidRPr="009B04BA">
              <w:fldChar w:fldCharType="end"/>
            </w:r>
          </w:p>
        </w:tc>
      </w:tr>
    </w:tbl>
    <w:p w14:paraId="4165BED5" w14:textId="7756C4FF" w:rsidR="00601390" w:rsidRPr="00E051B9" w:rsidRDefault="00601390" w:rsidP="00E051B9">
      <w:pPr>
        <w:rPr>
          <w:b/>
          <w:bCs/>
        </w:rPr>
      </w:pPr>
    </w:p>
    <w:p w14:paraId="56D05FC0" w14:textId="12F61EFF" w:rsidR="00601390" w:rsidRDefault="00601390" w:rsidP="00601390">
      <w:pPr>
        <w:pStyle w:val="ListParagraph"/>
        <w:rPr>
          <w:b/>
          <w:bCs/>
        </w:rPr>
      </w:pPr>
    </w:p>
    <w:p w14:paraId="252CC86C" w14:textId="77777777" w:rsidR="008E59A6" w:rsidRDefault="008E59A6" w:rsidP="00601390">
      <w:pPr>
        <w:pStyle w:val="ListParagraph"/>
        <w:rPr>
          <w:b/>
          <w:bCs/>
        </w:rPr>
      </w:pPr>
    </w:p>
    <w:p w14:paraId="3625B83D" w14:textId="77777777" w:rsidR="008E59A6" w:rsidRDefault="008E59A6" w:rsidP="00601390">
      <w:pPr>
        <w:pStyle w:val="ListParagraph"/>
        <w:rPr>
          <w:b/>
          <w:bCs/>
        </w:rPr>
      </w:pPr>
    </w:p>
    <w:p w14:paraId="5878E396" w14:textId="77777777" w:rsidR="008E59A6" w:rsidRDefault="008E59A6" w:rsidP="00601390">
      <w:pPr>
        <w:pStyle w:val="ListParagraph"/>
        <w:rPr>
          <w:b/>
          <w:bCs/>
        </w:rPr>
      </w:pPr>
    </w:p>
    <w:p w14:paraId="4BF62A60" w14:textId="77777777" w:rsidR="008E59A6" w:rsidRDefault="008E59A6" w:rsidP="00601390">
      <w:pPr>
        <w:pStyle w:val="ListParagraph"/>
        <w:rPr>
          <w:b/>
          <w:bCs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687315" w14:paraId="3DFE0881" w14:textId="77777777" w:rsidTr="00B60F81">
        <w:tc>
          <w:tcPr>
            <w:tcW w:w="10774" w:type="dxa"/>
          </w:tcPr>
          <w:p w14:paraId="02C7CD7C" w14:textId="77777777" w:rsidR="00636834" w:rsidRDefault="00636834" w:rsidP="00636834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  <w:p w14:paraId="0ABD4C34" w14:textId="71130C32" w:rsidR="00636834" w:rsidRDefault="00636834" w:rsidP="00636834">
            <w:pPr>
              <w:pStyle w:val="List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687315">
              <w:rPr>
                <w:b/>
                <w:bCs/>
                <w:sz w:val="28"/>
                <w:szCs w:val="28"/>
              </w:rPr>
              <w:t>Analysis</w:t>
            </w:r>
            <w:r>
              <w:rPr>
                <w:b/>
                <w:bCs/>
                <w:sz w:val="28"/>
                <w:szCs w:val="28"/>
              </w:rPr>
              <w:t xml:space="preserve"> and recommendation for next steps</w:t>
            </w:r>
          </w:p>
          <w:p w14:paraId="6284D50A" w14:textId="77777777" w:rsidR="009B04BA" w:rsidRPr="00636834" w:rsidRDefault="009B04BA" w:rsidP="00687315">
            <w:pPr>
              <w:pStyle w:val="ListParagraph"/>
              <w:ind w:left="0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200B3EFE" w14:textId="5A47EC6C" w:rsidR="00687315" w:rsidRPr="00636834" w:rsidRDefault="00687315" w:rsidP="00687315">
            <w:pPr>
              <w:pStyle w:val="ListParagraph"/>
              <w:ind w:left="0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636834">
              <w:rPr>
                <w:i/>
                <w:iCs/>
                <w:color w:val="808080" w:themeColor="background1" w:themeShade="80"/>
                <w:sz w:val="20"/>
                <w:szCs w:val="20"/>
              </w:rPr>
              <w:t>Higher scores are likely to indicate an emotional readiness to change.</w:t>
            </w:r>
            <w:r w:rsidR="00F44714" w:rsidRPr="00636834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The analysis needs to be contextualised and the responses of both parents considered together.</w:t>
            </w:r>
            <w:r w:rsidRPr="00636834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E66F0F" w:rsidRPr="00E66F0F">
              <w:rPr>
                <w:i/>
                <w:iCs/>
                <w:color w:val="FF0000"/>
                <w:sz w:val="20"/>
                <w:szCs w:val="20"/>
              </w:rPr>
              <w:t xml:space="preserve">Only the analysis and recommendations should be shared, not the score. </w:t>
            </w:r>
          </w:p>
          <w:p w14:paraId="45491FA9" w14:textId="77777777" w:rsidR="00DD4797" w:rsidRPr="00636834" w:rsidRDefault="00DD4797" w:rsidP="00687315">
            <w:pPr>
              <w:pStyle w:val="ListParagraph"/>
              <w:ind w:left="0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483058F3" w14:textId="6D26C041" w:rsidR="002F44D5" w:rsidRPr="00636834" w:rsidRDefault="002F44D5" w:rsidP="00687315">
            <w:pPr>
              <w:pStyle w:val="ListParagraph"/>
              <w:ind w:left="0"/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636834">
              <w:rPr>
                <w:i/>
                <w:iCs/>
                <w:color w:val="808080" w:themeColor="background1" w:themeShade="80"/>
                <w:sz w:val="20"/>
                <w:szCs w:val="20"/>
              </w:rPr>
              <w:t>See</w:t>
            </w:r>
            <w:r w:rsidR="00535DE1" w:rsidRPr="00636834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Co-Parent Hub in Cafcass Connect.</w:t>
            </w:r>
            <w:r w:rsidR="00897251" w:rsidRPr="00636834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Your analysis should consider:</w:t>
            </w:r>
          </w:p>
          <w:p w14:paraId="02AA804B" w14:textId="0B072A57" w:rsidR="00897251" w:rsidRPr="00636834" w:rsidRDefault="000C5449" w:rsidP="00897251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636834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The parents’ capacity to acknowledge their own feelings and </w:t>
            </w:r>
            <w:r w:rsidR="00B46B72" w:rsidRPr="00636834">
              <w:rPr>
                <w:i/>
                <w:iCs/>
                <w:color w:val="808080" w:themeColor="background1" w:themeShade="80"/>
                <w:sz w:val="20"/>
                <w:szCs w:val="20"/>
              </w:rPr>
              <w:t>any negative thoughts they have about the other parent.</w:t>
            </w:r>
          </w:p>
          <w:p w14:paraId="2CEFF830" w14:textId="3BE41D7F" w:rsidR="00B46B72" w:rsidRPr="00636834" w:rsidRDefault="00076336" w:rsidP="00897251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636834">
              <w:rPr>
                <w:i/>
                <w:iCs/>
                <w:color w:val="808080" w:themeColor="background1" w:themeShade="80"/>
                <w:sz w:val="20"/>
                <w:szCs w:val="20"/>
              </w:rPr>
              <w:t>The parents’ capacity to understand the position and views of the other parent.</w:t>
            </w:r>
          </w:p>
          <w:p w14:paraId="394C7804" w14:textId="2DF3FD20" w:rsidR="00076336" w:rsidRPr="00636834" w:rsidRDefault="00076336" w:rsidP="00897251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636834">
              <w:rPr>
                <w:i/>
                <w:iCs/>
                <w:color w:val="808080" w:themeColor="background1" w:themeShade="80"/>
                <w:sz w:val="20"/>
                <w:szCs w:val="20"/>
              </w:rPr>
              <w:t>The parents’ capacity to</w:t>
            </w:r>
            <w:r w:rsidR="00A06C47" w:rsidRPr="00636834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understand the individual views of their child(ren) and the impact the conflict has had on them.</w:t>
            </w:r>
          </w:p>
          <w:p w14:paraId="6765DCA4" w14:textId="77777777" w:rsidR="00554ADF" w:rsidRPr="00636834" w:rsidRDefault="00D36DC5" w:rsidP="00897251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636834">
              <w:rPr>
                <w:i/>
                <w:iCs/>
                <w:color w:val="808080" w:themeColor="background1" w:themeShade="80"/>
                <w:sz w:val="20"/>
                <w:szCs w:val="20"/>
              </w:rPr>
              <w:t>The parents’ capacity to manage</w:t>
            </w:r>
            <w:r w:rsidR="00554ADF" w:rsidRPr="00636834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and regulate their feelings.</w:t>
            </w:r>
          </w:p>
          <w:p w14:paraId="44AE4B65" w14:textId="77777777" w:rsidR="004D7D82" w:rsidRPr="00636834" w:rsidRDefault="00692FFE" w:rsidP="00897251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636834">
              <w:rPr>
                <w:i/>
                <w:iCs/>
                <w:color w:val="808080" w:themeColor="background1" w:themeShade="80"/>
                <w:sz w:val="20"/>
                <w:szCs w:val="20"/>
              </w:rPr>
              <w:t>The parents’ capacity to shift</w:t>
            </w:r>
            <w:r w:rsidR="00CD05DB" w:rsidRPr="00636834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from their own feelings to</w:t>
            </w:r>
            <w:r w:rsidR="00903804" w:rsidRPr="00636834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acting to support the </w:t>
            </w:r>
            <w:proofErr w:type="spellStart"/>
            <w:r w:rsidR="00903804" w:rsidRPr="00636834">
              <w:rPr>
                <w:i/>
                <w:iCs/>
                <w:color w:val="808080" w:themeColor="background1" w:themeShade="80"/>
                <w:sz w:val="20"/>
                <w:szCs w:val="20"/>
              </w:rPr>
              <w:t>well being</w:t>
            </w:r>
            <w:proofErr w:type="spellEnd"/>
            <w:r w:rsidR="00903804" w:rsidRPr="00636834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of their child(ren).</w:t>
            </w:r>
          </w:p>
          <w:p w14:paraId="134051BD" w14:textId="77777777" w:rsidR="00DD4797" w:rsidRPr="00636834" w:rsidRDefault="004D7D82" w:rsidP="00897251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636834">
              <w:rPr>
                <w:i/>
                <w:iCs/>
                <w:color w:val="808080" w:themeColor="background1" w:themeShade="80"/>
                <w:sz w:val="20"/>
                <w:szCs w:val="20"/>
              </w:rPr>
              <w:t>The parents’ capacity to accept their own part in the dispute</w:t>
            </w:r>
            <w:r w:rsidR="00DD4797" w:rsidRPr="00636834">
              <w:rPr>
                <w:i/>
                <w:iCs/>
                <w:color w:val="808080" w:themeColor="background1" w:themeShade="80"/>
                <w:sz w:val="20"/>
                <w:szCs w:val="20"/>
              </w:rPr>
              <w:t>.</w:t>
            </w:r>
          </w:p>
          <w:p w14:paraId="044283E7" w14:textId="4CFF47B4" w:rsidR="00A06C47" w:rsidRPr="00636834" w:rsidRDefault="00DD4797" w:rsidP="00897251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636834">
              <w:rPr>
                <w:i/>
                <w:iCs/>
                <w:color w:val="808080" w:themeColor="background1" w:themeShade="80"/>
                <w:sz w:val="20"/>
                <w:szCs w:val="20"/>
              </w:rPr>
              <w:t>The parents’ willingness to improve communication with the other parent</w:t>
            </w:r>
            <w:r w:rsidR="00554ADF" w:rsidRPr="00636834">
              <w:rPr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636834">
              <w:rPr>
                <w:i/>
                <w:iCs/>
                <w:color w:val="808080" w:themeColor="background1" w:themeShade="80"/>
                <w:sz w:val="20"/>
                <w:szCs w:val="20"/>
              </w:rPr>
              <w:t>to promote co-parenting.</w:t>
            </w:r>
          </w:p>
          <w:p w14:paraId="1084B5C3" w14:textId="77777777" w:rsidR="00687315" w:rsidRDefault="00687315" w:rsidP="00687315">
            <w:pPr>
              <w:pStyle w:val="ListParagraph"/>
              <w:ind w:left="0"/>
              <w:rPr>
                <w:sz w:val="28"/>
                <w:szCs w:val="28"/>
              </w:rPr>
            </w:pPr>
          </w:p>
          <w:p w14:paraId="30DE9D7B" w14:textId="37FB5568" w:rsidR="00B60F81" w:rsidRDefault="009B04BA" w:rsidP="00601390">
            <w:pPr>
              <w:pStyle w:val="ListParagraph"/>
              <w:ind w:left="0"/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E1E3E6"/>
              </w:rPr>
              <w:t> 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E1E3E6"/>
              </w:rPr>
              <w:t> 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E1E3E6"/>
              </w:rPr>
              <w:t> 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E1E3E6"/>
              </w:rPr>
              <w:t> 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E1E3E6"/>
              </w:rPr>
              <w:t> </w:t>
            </w:r>
            <w:r>
              <w:rPr>
                <w:rStyle w:val="eop"/>
                <w:rFonts w:ascii="Arial" w:hAnsi="Arial" w:cs="Arial"/>
                <w:shd w:val="clear" w:color="auto" w:fill="FFFFFF"/>
              </w:rPr>
              <w:t> </w:t>
            </w:r>
          </w:p>
          <w:p w14:paraId="6ADD51DA" w14:textId="77777777" w:rsidR="00B60F81" w:rsidRDefault="00B60F81" w:rsidP="00601390">
            <w:pPr>
              <w:pStyle w:val="ListParagraph"/>
              <w:ind w:left="0"/>
            </w:pPr>
          </w:p>
          <w:p w14:paraId="79C7624D" w14:textId="0CF3E313" w:rsidR="00687315" w:rsidRDefault="00EB2E1D" w:rsidP="00601390">
            <w:pPr>
              <w:pStyle w:val="ListParagraph"/>
              <w:ind w:left="0"/>
              <w:rPr>
                <w:rStyle w:val="eop"/>
                <w:rFonts w:ascii="Arial" w:hAnsi="Arial" w:cs="Arial"/>
                <w:shd w:val="clear" w:color="auto" w:fill="FFFFFF"/>
              </w:rPr>
            </w:pPr>
            <w:r>
              <w:t>Completed by (Name/role):</w:t>
            </w:r>
            <w:r w:rsidR="00B60F81">
              <w:t xml:space="preserve"> </w:t>
            </w:r>
            <w:r w:rsidR="009B04BA">
              <w:rPr>
                <w:rStyle w:val="normaltextrun"/>
                <w:rFonts w:ascii="Arial" w:hAnsi="Arial" w:cs="Arial"/>
                <w:color w:val="000000"/>
                <w:shd w:val="clear" w:color="auto" w:fill="E1E3E6"/>
              </w:rPr>
              <w:t> </w:t>
            </w:r>
            <w:r w:rsidR="009B04BA">
              <w:rPr>
                <w:rStyle w:val="normaltextrun"/>
                <w:rFonts w:ascii="Arial" w:hAnsi="Arial" w:cs="Arial"/>
                <w:color w:val="000000"/>
                <w:shd w:val="clear" w:color="auto" w:fill="E1E3E6"/>
              </w:rPr>
              <w:t> </w:t>
            </w:r>
            <w:r w:rsidR="009B04BA">
              <w:rPr>
                <w:rStyle w:val="normaltextrun"/>
                <w:rFonts w:ascii="Arial" w:hAnsi="Arial" w:cs="Arial"/>
                <w:color w:val="000000"/>
                <w:shd w:val="clear" w:color="auto" w:fill="E1E3E6"/>
              </w:rPr>
              <w:t> </w:t>
            </w:r>
            <w:r w:rsidR="009B04BA">
              <w:rPr>
                <w:rStyle w:val="normaltextrun"/>
                <w:rFonts w:ascii="Arial" w:hAnsi="Arial" w:cs="Arial"/>
                <w:color w:val="000000"/>
                <w:shd w:val="clear" w:color="auto" w:fill="E1E3E6"/>
              </w:rPr>
              <w:t> </w:t>
            </w:r>
            <w:r w:rsidR="009B04BA">
              <w:rPr>
                <w:rStyle w:val="normaltextrun"/>
                <w:rFonts w:ascii="Arial" w:hAnsi="Arial" w:cs="Arial"/>
                <w:color w:val="000000"/>
                <w:shd w:val="clear" w:color="auto" w:fill="E1E3E6"/>
              </w:rPr>
              <w:t> </w:t>
            </w:r>
            <w:r w:rsidR="009B04BA">
              <w:rPr>
                <w:rStyle w:val="eop"/>
                <w:rFonts w:ascii="Arial" w:hAnsi="Arial" w:cs="Arial"/>
                <w:shd w:val="clear" w:color="auto" w:fill="FFFFFF"/>
              </w:rPr>
              <w:t> </w:t>
            </w:r>
            <w:r w:rsidR="00065A2D">
              <w:t xml:space="preserve"> Dated</w:t>
            </w:r>
            <w:r w:rsidR="009B04BA">
              <w:t xml:space="preserve"> </w:t>
            </w:r>
            <w:r w:rsidR="009B04BA">
              <w:rPr>
                <w:rStyle w:val="normaltextrun"/>
                <w:rFonts w:ascii="Arial" w:hAnsi="Arial" w:cs="Arial"/>
                <w:color w:val="000000"/>
                <w:shd w:val="clear" w:color="auto" w:fill="E1E3E6"/>
              </w:rPr>
              <w:t> </w:t>
            </w:r>
            <w:r w:rsidR="009B04BA">
              <w:rPr>
                <w:rStyle w:val="normaltextrun"/>
                <w:rFonts w:ascii="Arial" w:hAnsi="Arial" w:cs="Arial"/>
                <w:color w:val="000000"/>
                <w:shd w:val="clear" w:color="auto" w:fill="E1E3E6"/>
              </w:rPr>
              <w:t> </w:t>
            </w:r>
            <w:r w:rsidR="009B04BA">
              <w:rPr>
                <w:rStyle w:val="normaltextrun"/>
                <w:rFonts w:ascii="Arial" w:hAnsi="Arial" w:cs="Arial"/>
                <w:color w:val="000000"/>
                <w:shd w:val="clear" w:color="auto" w:fill="E1E3E6"/>
              </w:rPr>
              <w:t> </w:t>
            </w:r>
            <w:r w:rsidR="009B04BA">
              <w:rPr>
                <w:rStyle w:val="normaltextrun"/>
                <w:rFonts w:ascii="Arial" w:hAnsi="Arial" w:cs="Arial"/>
                <w:color w:val="000000"/>
                <w:shd w:val="clear" w:color="auto" w:fill="E1E3E6"/>
              </w:rPr>
              <w:t> </w:t>
            </w:r>
            <w:r w:rsidR="009B04BA">
              <w:rPr>
                <w:rStyle w:val="normaltextrun"/>
                <w:rFonts w:ascii="Arial" w:hAnsi="Arial" w:cs="Arial"/>
                <w:color w:val="000000"/>
                <w:shd w:val="clear" w:color="auto" w:fill="E1E3E6"/>
              </w:rPr>
              <w:t> </w:t>
            </w:r>
            <w:r w:rsidR="009B04BA">
              <w:rPr>
                <w:rStyle w:val="eop"/>
                <w:rFonts w:ascii="Arial" w:hAnsi="Arial" w:cs="Arial"/>
                <w:shd w:val="clear" w:color="auto" w:fill="FFFFFF"/>
              </w:rPr>
              <w:t> </w:t>
            </w:r>
          </w:p>
          <w:p w14:paraId="0B0AF24C" w14:textId="7404DE0C" w:rsidR="00636834" w:rsidRPr="00065A2D" w:rsidRDefault="00636834" w:rsidP="00601390">
            <w:pPr>
              <w:pStyle w:val="ListParagraph"/>
              <w:ind w:left="0"/>
            </w:pPr>
          </w:p>
        </w:tc>
      </w:tr>
      <w:tr w:rsidR="00EB2E1D" w14:paraId="2A72D106" w14:textId="77777777" w:rsidTr="00B60F81">
        <w:tc>
          <w:tcPr>
            <w:tcW w:w="10774" w:type="dxa"/>
          </w:tcPr>
          <w:p w14:paraId="770F8BCB" w14:textId="6FD9273D" w:rsidR="00EB2E1D" w:rsidRDefault="00EB2E1D" w:rsidP="00EB2E1D">
            <w:pPr>
              <w:pStyle w:val="NormalWeb"/>
              <w:rPr>
                <w:b/>
                <w:bCs/>
                <w:sz w:val="28"/>
                <w:szCs w:val="28"/>
              </w:rPr>
            </w:pPr>
            <w:r w:rsidRPr="00896412">
              <w:rPr>
                <w:rFonts w:ascii="Arial" w:eastAsia="Calibri" w:hAnsi="Arial" w:cs="Arial"/>
                <w:b/>
                <w:bCs/>
                <w:i/>
                <w:sz w:val="22"/>
                <w:szCs w:val="22"/>
                <w:lang w:bidi="ar-SA"/>
              </w:rPr>
              <w:t>Important</w:t>
            </w:r>
            <w:r w:rsidRPr="00896412">
              <w:rPr>
                <w:rFonts w:ascii="Arial" w:eastAsia="Calibri" w:hAnsi="Arial" w:cs="Arial"/>
                <w:i/>
                <w:sz w:val="22"/>
                <w:szCs w:val="22"/>
                <w:lang w:bidi="ar-SA"/>
              </w:rPr>
              <w:t xml:space="preserve">: </w:t>
            </w:r>
            <w:r w:rsidRPr="00896412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bidi="ar-SA"/>
              </w:rPr>
              <w:t xml:space="preserve">This </w:t>
            </w:r>
            <w:r w:rsidR="003E1877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bidi="ar-SA"/>
              </w:rPr>
              <w:t>practice aid</w:t>
            </w:r>
            <w:r w:rsidRPr="00896412">
              <w:rPr>
                <w:rFonts w:ascii="Arial" w:eastAsia="Calibri" w:hAnsi="Arial" w:cs="Arial"/>
                <w:bCs/>
                <w:i/>
                <w:iCs/>
                <w:color w:val="FF0000"/>
                <w:sz w:val="22"/>
                <w:szCs w:val="22"/>
                <w:lang w:bidi="ar-SA"/>
              </w:rPr>
              <w:t xml:space="preserve"> </w:t>
            </w:r>
            <w:r w:rsidRPr="00896412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bidi="ar-SA"/>
              </w:rPr>
              <w:t xml:space="preserve">has been developed from existing evidence base and research, </w:t>
            </w:r>
            <w:proofErr w:type="gramStart"/>
            <w:r w:rsidRPr="00896412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bidi="ar-SA"/>
              </w:rPr>
              <w:t>however</w:t>
            </w:r>
            <w:proofErr w:type="gramEnd"/>
            <w:r w:rsidRPr="00896412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bidi="ar-SA"/>
              </w:rPr>
              <w:t xml:space="preserve"> is </w:t>
            </w:r>
            <w:r w:rsidRPr="00896412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u w:val="single"/>
                <w:lang w:bidi="ar-SA"/>
              </w:rPr>
              <w:t xml:space="preserve">not </w:t>
            </w:r>
            <w:r w:rsidRPr="00896412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bidi="ar-SA"/>
              </w:rPr>
              <w:t xml:space="preserve">a validated </w:t>
            </w:r>
            <w:r w:rsidR="003E1877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bidi="ar-SA"/>
              </w:rPr>
              <w:t>practice aid</w:t>
            </w:r>
            <w:r w:rsidRPr="00896412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bidi="ar-SA"/>
              </w:rPr>
              <w:t>. </w:t>
            </w:r>
            <w:r w:rsidR="003E1877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bidi="ar-SA"/>
              </w:rPr>
              <w:t xml:space="preserve">It </w:t>
            </w:r>
            <w:r w:rsidRPr="00896412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bidi="ar-SA"/>
              </w:rPr>
              <w:t xml:space="preserve">should be used to inform the assessment and analysis and is not a replacement for the </w:t>
            </w:r>
            <w:r w:rsidR="003E1877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bidi="ar-SA"/>
              </w:rPr>
              <w:t xml:space="preserve">practitioner’s </w:t>
            </w:r>
            <w:r w:rsidRPr="00896412">
              <w:rPr>
                <w:rFonts w:ascii="Arial" w:eastAsia="Calibri" w:hAnsi="Arial" w:cs="Arial"/>
                <w:bCs/>
                <w:i/>
                <w:iCs/>
                <w:sz w:val="22"/>
                <w:szCs w:val="22"/>
                <w:lang w:bidi="ar-SA"/>
              </w:rPr>
              <w:t xml:space="preserve">professional judgement. </w:t>
            </w:r>
            <w:r w:rsidRPr="00896412">
              <w:rPr>
                <w:rFonts w:ascii="Arial" w:eastAsia="Calibri" w:hAnsi="Arial" w:cs="Arial"/>
                <w:sz w:val="22"/>
                <w:szCs w:val="22"/>
                <w:lang w:bidi="ar-SA"/>
              </w:rPr>
              <w:t> </w:t>
            </w:r>
          </w:p>
        </w:tc>
      </w:tr>
    </w:tbl>
    <w:p w14:paraId="42A23AE6" w14:textId="77777777" w:rsidR="00EB2E1D" w:rsidRDefault="00EB2E1D" w:rsidP="007650C5">
      <w:pPr>
        <w:pStyle w:val="ListParagraph"/>
        <w:rPr>
          <w:b/>
          <w:bCs/>
        </w:rPr>
      </w:pPr>
    </w:p>
    <w:p w14:paraId="5B80F66B" w14:textId="11D8417A" w:rsidR="007650C5" w:rsidRDefault="00EB2E1D" w:rsidP="007650C5">
      <w:pPr>
        <w:pStyle w:val="ListParagraph"/>
        <w:rPr>
          <w:b/>
          <w:bCs/>
        </w:rPr>
      </w:pPr>
      <w:r>
        <w:rPr>
          <w:b/>
          <w:bCs/>
        </w:rPr>
        <w:t xml:space="preserve">                               </w:t>
      </w:r>
      <w:r w:rsidR="007650C5">
        <w:rPr>
          <w:b/>
          <w:bCs/>
        </w:rPr>
        <w:t>Andy Hyde</w:t>
      </w:r>
      <w:r w:rsidR="00A50F2C">
        <w:rPr>
          <w:b/>
          <w:bCs/>
        </w:rPr>
        <w:t xml:space="preserve"> &amp; Charlotte Cooklin </w:t>
      </w:r>
      <w:r w:rsidR="003E1877">
        <w:rPr>
          <w:b/>
          <w:bCs/>
        </w:rPr>
        <w:t>November 2023</w:t>
      </w:r>
      <w:r w:rsidR="007650C5">
        <w:rPr>
          <w:b/>
          <w:bCs/>
        </w:rPr>
        <w:t>.</w:t>
      </w:r>
    </w:p>
    <w:p w14:paraId="574D4F30" w14:textId="4BE3C0AC" w:rsidR="00A50F2C" w:rsidRDefault="00A50F2C" w:rsidP="007650C5">
      <w:pPr>
        <w:pStyle w:val="ListParagraph"/>
        <w:rPr>
          <w:b/>
          <w:bCs/>
        </w:rPr>
      </w:pPr>
    </w:p>
    <w:p w14:paraId="7A1F699A" w14:textId="0A085A23" w:rsidR="00636834" w:rsidRPr="00636834" w:rsidRDefault="00A50F2C" w:rsidP="00636834">
      <w:pPr>
        <w:pStyle w:val="ListParagraph"/>
        <w:rPr>
          <w:b/>
          <w:bCs/>
        </w:rPr>
      </w:pPr>
      <w:r>
        <w:rPr>
          <w:b/>
          <w:bCs/>
        </w:rPr>
        <w:t>References</w:t>
      </w:r>
    </w:p>
    <w:p w14:paraId="06F7C881" w14:textId="77777777" w:rsidR="00636834" w:rsidRPr="00636834" w:rsidRDefault="00636834" w:rsidP="0063683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proofErr w:type="gramStart"/>
      <w:r w:rsidRPr="00636834">
        <w:rPr>
          <w:rFonts w:cstheme="minorHAnsi"/>
        </w:rPr>
        <w:t>Saini,M</w:t>
      </w:r>
      <w:proofErr w:type="spellEnd"/>
      <w:r w:rsidRPr="00636834">
        <w:rPr>
          <w:rFonts w:cstheme="minorHAnsi"/>
        </w:rPr>
        <w:t>.</w:t>
      </w:r>
      <w:proofErr w:type="gramEnd"/>
      <w:r w:rsidRPr="00636834">
        <w:rPr>
          <w:rFonts w:cstheme="minorHAnsi"/>
        </w:rPr>
        <w:t xml:space="preserve"> </w:t>
      </w:r>
      <w:proofErr w:type="spellStart"/>
      <w:r w:rsidRPr="00636834">
        <w:rPr>
          <w:rFonts w:cstheme="minorHAnsi"/>
        </w:rPr>
        <w:t>Pruett,M</w:t>
      </w:r>
      <w:proofErr w:type="spellEnd"/>
      <w:r w:rsidRPr="00636834">
        <w:rPr>
          <w:rFonts w:cstheme="minorHAnsi"/>
        </w:rPr>
        <w:t xml:space="preserve">. </w:t>
      </w:r>
      <w:proofErr w:type="spellStart"/>
      <w:r w:rsidRPr="00636834">
        <w:rPr>
          <w:rFonts w:cstheme="minorHAnsi"/>
        </w:rPr>
        <w:t>Alschech,J</w:t>
      </w:r>
      <w:proofErr w:type="spellEnd"/>
      <w:r w:rsidRPr="00636834">
        <w:rPr>
          <w:rFonts w:cstheme="minorHAnsi"/>
        </w:rPr>
        <w:t xml:space="preserve"> &amp; </w:t>
      </w:r>
      <w:proofErr w:type="spellStart"/>
      <w:r w:rsidRPr="00636834">
        <w:rPr>
          <w:rFonts w:cstheme="minorHAnsi"/>
        </w:rPr>
        <w:t>Sushchyk,A</w:t>
      </w:r>
      <w:proofErr w:type="spellEnd"/>
      <w:r w:rsidRPr="00636834">
        <w:rPr>
          <w:rFonts w:cstheme="minorHAnsi"/>
        </w:rPr>
        <w:t>. Journal of child and family studies. May 2019.</w:t>
      </w:r>
    </w:p>
    <w:p w14:paraId="6AD3B967" w14:textId="77777777" w:rsidR="00636834" w:rsidRPr="00636834" w:rsidRDefault="00636834" w:rsidP="0063683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36834">
        <w:rPr>
          <w:rFonts w:cstheme="minorHAnsi"/>
        </w:rPr>
        <w:t>Barlow, A., Hunter, R., Smithson, J., &amp; Ewing, J. (2014). Mapping paths to family justice: Briefing paper &amp; report on key findings. London, England: University of Exeter.</w:t>
      </w:r>
    </w:p>
    <w:p w14:paraId="577C9BA1" w14:textId="77777777" w:rsidR="00636834" w:rsidRPr="00636834" w:rsidRDefault="00636834" w:rsidP="0063683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636834">
        <w:rPr>
          <w:rFonts w:cstheme="minorHAnsi"/>
        </w:rPr>
        <w:t>Houlston</w:t>
      </w:r>
      <w:proofErr w:type="spellEnd"/>
      <w:r w:rsidRPr="00636834">
        <w:rPr>
          <w:rFonts w:cstheme="minorHAnsi"/>
        </w:rPr>
        <w:t xml:space="preserve"> et al. Development and Practical use of an Emotional Readiness Assessment. for Support in Family Justice Processes. Family Court Review 18 July 2019</w:t>
      </w:r>
    </w:p>
    <w:p w14:paraId="626B4907" w14:textId="77777777" w:rsidR="00636834" w:rsidRPr="00636834" w:rsidRDefault="00636834" w:rsidP="0063683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36834">
        <w:rPr>
          <w:rFonts w:cstheme="minorHAnsi"/>
        </w:rPr>
        <w:t>Co-Parent Hub, Cafcass Connect.</w:t>
      </w:r>
    </w:p>
    <w:p w14:paraId="48DD6DB4" w14:textId="5F673039" w:rsidR="00636834" w:rsidRDefault="00636834" w:rsidP="0063683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36834">
        <w:rPr>
          <w:rFonts w:cstheme="minorHAnsi"/>
        </w:rPr>
        <w:t>Brian Cantwell. Emotional Readiness: a key factor in successful DR practice? Family Law 45 (4) April 2015 p461-466.</w:t>
      </w:r>
    </w:p>
    <w:p w14:paraId="14B1DCB7" w14:textId="2123AE55" w:rsidR="00095E70" w:rsidRPr="00636834" w:rsidRDefault="00095E70" w:rsidP="0063683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Miller, W &amp; Rollnick, S. Motivational Interviewing-</w:t>
      </w:r>
      <w:r>
        <w:rPr>
          <w:rFonts w:cstheme="minorHAnsi"/>
          <w:i/>
          <w:iCs/>
        </w:rPr>
        <w:t xml:space="preserve">Helping People Change. </w:t>
      </w:r>
      <w:r>
        <w:rPr>
          <w:rFonts w:cstheme="minorHAnsi"/>
        </w:rPr>
        <w:t>Third edition 2012.</w:t>
      </w:r>
    </w:p>
    <w:p w14:paraId="669A096D" w14:textId="77777777" w:rsidR="00636834" w:rsidRPr="00636834" w:rsidRDefault="00636834" w:rsidP="00636834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CB6899D" w14:textId="77777777" w:rsidR="00A50F2C" w:rsidRPr="00F40CF0" w:rsidRDefault="00A50F2C" w:rsidP="007650C5">
      <w:pPr>
        <w:pStyle w:val="ListParagraph"/>
      </w:pPr>
    </w:p>
    <w:p w14:paraId="4DEBDBF3" w14:textId="5BB6344B" w:rsidR="005E4079" w:rsidRPr="006E5C7C" w:rsidRDefault="005E4079" w:rsidP="005A7268">
      <w:r>
        <w:t xml:space="preserve"> </w:t>
      </w:r>
    </w:p>
    <w:sectPr w:rsidR="005E4079" w:rsidRPr="006E5C7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9746C" w14:textId="77777777" w:rsidR="00CF0E26" w:rsidRDefault="00CF0E26" w:rsidP="00CF0E26">
      <w:pPr>
        <w:spacing w:after="0" w:line="240" w:lineRule="auto"/>
      </w:pPr>
      <w:r>
        <w:separator/>
      </w:r>
    </w:p>
  </w:endnote>
  <w:endnote w:type="continuationSeparator" w:id="0">
    <w:p w14:paraId="3B9AD15C" w14:textId="77777777" w:rsidR="00CF0E26" w:rsidRDefault="00CF0E26" w:rsidP="00CF0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62E0C" w14:textId="77777777" w:rsidR="00CF0E26" w:rsidRDefault="00CF0E26" w:rsidP="00CF0E26">
      <w:pPr>
        <w:spacing w:after="0" w:line="240" w:lineRule="auto"/>
      </w:pPr>
      <w:r>
        <w:separator/>
      </w:r>
    </w:p>
  </w:footnote>
  <w:footnote w:type="continuationSeparator" w:id="0">
    <w:p w14:paraId="457A4D05" w14:textId="77777777" w:rsidR="00CF0E26" w:rsidRDefault="00CF0E26" w:rsidP="00CF0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44E9D" w14:textId="3A5EA3C5" w:rsidR="00CF0E26" w:rsidRDefault="00CF0E26">
    <w:pPr>
      <w:pStyle w:val="Header"/>
    </w:pPr>
    <w:r w:rsidRPr="00CF0E26">
      <w:rPr>
        <w:b/>
        <w:bCs/>
      </w:rPr>
      <w:t>Updated:</w:t>
    </w:r>
    <w:r>
      <w:t xml:space="preserve"> 04/12/2023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C7E"/>
    <w:multiLevelType w:val="hybridMultilevel"/>
    <w:tmpl w:val="BC7213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46EC7"/>
    <w:multiLevelType w:val="hybridMultilevel"/>
    <w:tmpl w:val="409E7C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24FE8"/>
    <w:multiLevelType w:val="hybridMultilevel"/>
    <w:tmpl w:val="64F2220A"/>
    <w:lvl w:ilvl="0" w:tplc="4A46F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2C30A6"/>
    <w:multiLevelType w:val="hybridMultilevel"/>
    <w:tmpl w:val="64F2220A"/>
    <w:lvl w:ilvl="0" w:tplc="4A46F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CE3715"/>
    <w:multiLevelType w:val="hybridMultilevel"/>
    <w:tmpl w:val="A3F218E2"/>
    <w:lvl w:ilvl="0" w:tplc="F67A70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77796"/>
    <w:multiLevelType w:val="hybridMultilevel"/>
    <w:tmpl w:val="03CCF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B1A13"/>
    <w:multiLevelType w:val="hybridMultilevel"/>
    <w:tmpl w:val="29A271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565021">
    <w:abstractNumId w:val="6"/>
  </w:num>
  <w:num w:numId="2" w16cid:durableId="1748111004">
    <w:abstractNumId w:val="3"/>
  </w:num>
  <w:num w:numId="3" w16cid:durableId="933825866">
    <w:abstractNumId w:val="2"/>
  </w:num>
  <w:num w:numId="4" w16cid:durableId="2063403963">
    <w:abstractNumId w:val="5"/>
  </w:num>
  <w:num w:numId="5" w16cid:durableId="1471046747">
    <w:abstractNumId w:val="4"/>
  </w:num>
  <w:num w:numId="6" w16cid:durableId="1941528761">
    <w:abstractNumId w:val="4"/>
  </w:num>
  <w:num w:numId="7" w16cid:durableId="472139968">
    <w:abstractNumId w:val="1"/>
  </w:num>
  <w:num w:numId="8" w16cid:durableId="1922137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268"/>
    <w:rsid w:val="00060197"/>
    <w:rsid w:val="00065A2D"/>
    <w:rsid w:val="000709E0"/>
    <w:rsid w:val="00072863"/>
    <w:rsid w:val="00076336"/>
    <w:rsid w:val="00095E70"/>
    <w:rsid w:val="000A30A3"/>
    <w:rsid w:val="000A3A27"/>
    <w:rsid w:val="000C5449"/>
    <w:rsid w:val="000C782C"/>
    <w:rsid w:val="000E1BE0"/>
    <w:rsid w:val="00131638"/>
    <w:rsid w:val="00133587"/>
    <w:rsid w:val="00140ABD"/>
    <w:rsid w:val="00171B52"/>
    <w:rsid w:val="00195AC5"/>
    <w:rsid w:val="00196007"/>
    <w:rsid w:val="001B0785"/>
    <w:rsid w:val="001D2F6A"/>
    <w:rsid w:val="001D55DF"/>
    <w:rsid w:val="001F055D"/>
    <w:rsid w:val="002132CC"/>
    <w:rsid w:val="00220368"/>
    <w:rsid w:val="00230E11"/>
    <w:rsid w:val="002362E9"/>
    <w:rsid w:val="002508CB"/>
    <w:rsid w:val="002655DC"/>
    <w:rsid w:val="00292610"/>
    <w:rsid w:val="002E5A09"/>
    <w:rsid w:val="002F44D5"/>
    <w:rsid w:val="00304B7F"/>
    <w:rsid w:val="00334463"/>
    <w:rsid w:val="00334FFD"/>
    <w:rsid w:val="00385E7E"/>
    <w:rsid w:val="003A2FC1"/>
    <w:rsid w:val="003B185D"/>
    <w:rsid w:val="003B6742"/>
    <w:rsid w:val="003E1877"/>
    <w:rsid w:val="00400EA4"/>
    <w:rsid w:val="00410CA9"/>
    <w:rsid w:val="0041175D"/>
    <w:rsid w:val="00451309"/>
    <w:rsid w:val="0046080F"/>
    <w:rsid w:val="004611AA"/>
    <w:rsid w:val="004622A6"/>
    <w:rsid w:val="00462F2D"/>
    <w:rsid w:val="0047368C"/>
    <w:rsid w:val="00480BDF"/>
    <w:rsid w:val="004C29B4"/>
    <w:rsid w:val="004D7D82"/>
    <w:rsid w:val="004E6816"/>
    <w:rsid w:val="00513072"/>
    <w:rsid w:val="00527C2B"/>
    <w:rsid w:val="00535DE1"/>
    <w:rsid w:val="00554ADF"/>
    <w:rsid w:val="00562787"/>
    <w:rsid w:val="00574927"/>
    <w:rsid w:val="005A4538"/>
    <w:rsid w:val="005A56F3"/>
    <w:rsid w:val="005A7268"/>
    <w:rsid w:val="005E4079"/>
    <w:rsid w:val="005F5B7A"/>
    <w:rsid w:val="00601390"/>
    <w:rsid w:val="0062154D"/>
    <w:rsid w:val="00636834"/>
    <w:rsid w:val="00636E4E"/>
    <w:rsid w:val="0064615C"/>
    <w:rsid w:val="00651A09"/>
    <w:rsid w:val="006617E1"/>
    <w:rsid w:val="00666E84"/>
    <w:rsid w:val="00676C5F"/>
    <w:rsid w:val="00687315"/>
    <w:rsid w:val="00692FFE"/>
    <w:rsid w:val="006D36BC"/>
    <w:rsid w:val="006E5C7C"/>
    <w:rsid w:val="0070064B"/>
    <w:rsid w:val="00732797"/>
    <w:rsid w:val="00732E52"/>
    <w:rsid w:val="00737BE4"/>
    <w:rsid w:val="0075309D"/>
    <w:rsid w:val="007650C5"/>
    <w:rsid w:val="00783863"/>
    <w:rsid w:val="00797F85"/>
    <w:rsid w:val="007E5E7E"/>
    <w:rsid w:val="007E7376"/>
    <w:rsid w:val="007F7264"/>
    <w:rsid w:val="00805CD2"/>
    <w:rsid w:val="00822403"/>
    <w:rsid w:val="00824821"/>
    <w:rsid w:val="00826452"/>
    <w:rsid w:val="00827B3B"/>
    <w:rsid w:val="008917AE"/>
    <w:rsid w:val="00897251"/>
    <w:rsid w:val="008A299D"/>
    <w:rsid w:val="008A3E08"/>
    <w:rsid w:val="008A4D99"/>
    <w:rsid w:val="008A6ED3"/>
    <w:rsid w:val="008D760A"/>
    <w:rsid w:val="008E59A6"/>
    <w:rsid w:val="00903804"/>
    <w:rsid w:val="00912A3C"/>
    <w:rsid w:val="00946CDA"/>
    <w:rsid w:val="00955D5D"/>
    <w:rsid w:val="009A39F0"/>
    <w:rsid w:val="009B04BA"/>
    <w:rsid w:val="00A06C47"/>
    <w:rsid w:val="00A16984"/>
    <w:rsid w:val="00A26C8E"/>
    <w:rsid w:val="00A43286"/>
    <w:rsid w:val="00A50F2C"/>
    <w:rsid w:val="00A73824"/>
    <w:rsid w:val="00A91545"/>
    <w:rsid w:val="00AC7EF2"/>
    <w:rsid w:val="00AD7E3B"/>
    <w:rsid w:val="00AE1253"/>
    <w:rsid w:val="00B00DBC"/>
    <w:rsid w:val="00B01D78"/>
    <w:rsid w:val="00B33461"/>
    <w:rsid w:val="00B46B72"/>
    <w:rsid w:val="00B57CFC"/>
    <w:rsid w:val="00B60F81"/>
    <w:rsid w:val="00B91227"/>
    <w:rsid w:val="00BA39EE"/>
    <w:rsid w:val="00BA45BD"/>
    <w:rsid w:val="00BB28F5"/>
    <w:rsid w:val="00BC1F9B"/>
    <w:rsid w:val="00BD4383"/>
    <w:rsid w:val="00BE0151"/>
    <w:rsid w:val="00BF09CB"/>
    <w:rsid w:val="00BF1ED2"/>
    <w:rsid w:val="00BF5063"/>
    <w:rsid w:val="00BF6D13"/>
    <w:rsid w:val="00C177B0"/>
    <w:rsid w:val="00C21504"/>
    <w:rsid w:val="00C34517"/>
    <w:rsid w:val="00C62C75"/>
    <w:rsid w:val="00C77982"/>
    <w:rsid w:val="00C84F03"/>
    <w:rsid w:val="00C868A0"/>
    <w:rsid w:val="00C946E7"/>
    <w:rsid w:val="00CB19E8"/>
    <w:rsid w:val="00CD05DB"/>
    <w:rsid w:val="00CF04C2"/>
    <w:rsid w:val="00CF0E26"/>
    <w:rsid w:val="00CF276D"/>
    <w:rsid w:val="00D16227"/>
    <w:rsid w:val="00D1632C"/>
    <w:rsid w:val="00D1658B"/>
    <w:rsid w:val="00D276E7"/>
    <w:rsid w:val="00D36DC5"/>
    <w:rsid w:val="00D81E46"/>
    <w:rsid w:val="00DA0DF2"/>
    <w:rsid w:val="00DD2E2F"/>
    <w:rsid w:val="00DD4797"/>
    <w:rsid w:val="00DE5C0F"/>
    <w:rsid w:val="00DE6CEC"/>
    <w:rsid w:val="00DF4CE1"/>
    <w:rsid w:val="00E0151B"/>
    <w:rsid w:val="00E051B9"/>
    <w:rsid w:val="00E20DD8"/>
    <w:rsid w:val="00E23043"/>
    <w:rsid w:val="00E448BF"/>
    <w:rsid w:val="00E47D12"/>
    <w:rsid w:val="00E65AD3"/>
    <w:rsid w:val="00E66F0F"/>
    <w:rsid w:val="00EA4951"/>
    <w:rsid w:val="00EB2E1D"/>
    <w:rsid w:val="00EE1B81"/>
    <w:rsid w:val="00F14CFA"/>
    <w:rsid w:val="00F174BE"/>
    <w:rsid w:val="00F3662B"/>
    <w:rsid w:val="00F40CF0"/>
    <w:rsid w:val="00F44714"/>
    <w:rsid w:val="00F63302"/>
    <w:rsid w:val="00F76862"/>
    <w:rsid w:val="00F826E6"/>
    <w:rsid w:val="00FA7F56"/>
    <w:rsid w:val="00FC1E7C"/>
    <w:rsid w:val="00FC3242"/>
    <w:rsid w:val="00FC506E"/>
    <w:rsid w:val="00FD7C33"/>
    <w:rsid w:val="00FF3393"/>
    <w:rsid w:val="00FF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5F779"/>
  <w15:chartTrackingRefBased/>
  <w15:docId w15:val="{8166C6D7-58A6-4AD9-A674-49F91FBB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CF0"/>
    <w:pPr>
      <w:ind w:left="720"/>
      <w:contextualSpacing/>
    </w:pPr>
  </w:style>
  <w:style w:type="character" w:customStyle="1" w:styleId="author">
    <w:name w:val="author"/>
    <w:basedOn w:val="DefaultParagraphFont"/>
    <w:rsid w:val="00334FFD"/>
  </w:style>
  <w:style w:type="character" w:customStyle="1" w:styleId="pubyear">
    <w:name w:val="pubyear"/>
    <w:basedOn w:val="DefaultParagraphFont"/>
    <w:rsid w:val="00334FFD"/>
  </w:style>
  <w:style w:type="character" w:customStyle="1" w:styleId="booktitle">
    <w:name w:val="booktitle"/>
    <w:basedOn w:val="DefaultParagraphFont"/>
    <w:rsid w:val="00334FFD"/>
  </w:style>
  <w:style w:type="character" w:customStyle="1" w:styleId="publisherlocation">
    <w:name w:val="publisherlocation"/>
    <w:basedOn w:val="DefaultParagraphFont"/>
    <w:rsid w:val="00334FFD"/>
  </w:style>
  <w:style w:type="table" w:styleId="TableGrid">
    <w:name w:val="Table Grid"/>
    <w:basedOn w:val="TableNormal"/>
    <w:uiPriority w:val="39"/>
    <w:rsid w:val="0068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B04BA"/>
  </w:style>
  <w:style w:type="character" w:customStyle="1" w:styleId="eop">
    <w:name w:val="eop"/>
    <w:basedOn w:val="DefaultParagraphFont"/>
    <w:rsid w:val="009B04BA"/>
  </w:style>
  <w:style w:type="paragraph" w:styleId="NormalWeb">
    <w:name w:val="Normal (Web)"/>
    <w:basedOn w:val="Normal"/>
    <w:uiPriority w:val="99"/>
    <w:unhideWhenUsed/>
    <w:rsid w:val="00EB2E1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CF0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E26"/>
  </w:style>
  <w:style w:type="paragraph" w:styleId="Footer">
    <w:name w:val="footer"/>
    <w:basedOn w:val="Normal"/>
    <w:link w:val="FooterChar"/>
    <w:uiPriority w:val="99"/>
    <w:unhideWhenUsed/>
    <w:rsid w:val="00CF0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022C25B160804798ACE8661A41F0B9" ma:contentTypeVersion="13" ma:contentTypeDescription="Create a new document." ma:contentTypeScope="" ma:versionID="5a87e11fcd5b94ed3a6175e4af5afed9">
  <xsd:schema xmlns:xsd="http://www.w3.org/2001/XMLSchema" xmlns:xs="http://www.w3.org/2001/XMLSchema" xmlns:p="http://schemas.microsoft.com/office/2006/metadata/properties" xmlns:ns2="549a5428-4fbc-4888-8ed3-d3f62e46f1bc" xmlns:ns3="f5195674-8afd-4c30-9adc-622171c02ee0" targetNamespace="http://schemas.microsoft.com/office/2006/metadata/properties" ma:root="true" ma:fieldsID="f3dab5c462901fd9e11aae4fa3840718" ns2:_="" ns3:_="">
    <xsd:import namespace="549a5428-4fbc-4888-8ed3-d3f62e46f1bc"/>
    <xsd:import namespace="f5195674-8afd-4c30-9adc-622171c02e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a5428-4fbc-4888-8ed3-d3f62e46f1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95674-8afd-4c30-9adc-622171c02e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DC21B-8F9C-4E53-8AD7-01D83A36C161}"/>
</file>

<file path=customXml/itemProps2.xml><?xml version="1.0" encoding="utf-8"?>
<ds:datastoreItem xmlns:ds="http://schemas.openxmlformats.org/officeDocument/2006/customXml" ds:itemID="{837F8671-093D-4DD2-9158-F73FC2967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760936-E498-48AF-9545-2229B0E90B7D}">
  <ds:schemaRefs>
    <ds:schemaRef ds:uri="http://schemas.microsoft.com/office/2006/metadata/properties"/>
    <ds:schemaRef ds:uri="http://schemas.microsoft.com/office/infopath/2007/PartnerControls"/>
    <ds:schemaRef ds:uri="720f613f-8a2e-43d0-b008-9bdf313193bb"/>
    <ds:schemaRef ds:uri="2a8fcaff-49bb-4fa3-a770-fd48a662c15a"/>
  </ds:schemaRefs>
</ds:datastoreItem>
</file>

<file path=customXml/itemProps4.xml><?xml version="1.0" encoding="utf-8"?>
<ds:datastoreItem xmlns:ds="http://schemas.openxmlformats.org/officeDocument/2006/customXml" ds:itemID="{5118803B-78AB-4DF1-ABD5-77391EF4C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Hyde</dc:creator>
  <cp:keywords/>
  <dc:description/>
  <cp:lastModifiedBy>Dani Spadavecchia (she/her)</cp:lastModifiedBy>
  <cp:revision>8</cp:revision>
  <dcterms:created xsi:type="dcterms:W3CDTF">2023-11-20T11:44:00Z</dcterms:created>
  <dcterms:modified xsi:type="dcterms:W3CDTF">2023-12-04T11:51:00Z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0x0101000D022C25B160804798ACE8661A41F0B9</vt:lpwstr>
  </property>
  <property fmtid="{D5CDD505-2E9C-101B-9397-08002B2CF9AE}" pid="3" name="MediaServiceImageTags">
    <vt:lpwstr/>
  </property>
</Properties>
</file>